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宋体" w:eastAsia="方正小标宋简体"/>
          <w:b/>
          <w:color w:val="000000" w:themeColor="text1"/>
          <w:sz w:val="30"/>
          <w:szCs w:val="30"/>
          <w14:textFill>
            <w14:solidFill>
              <w14:schemeClr w14:val="tx1"/>
            </w14:solidFill>
          </w14:textFill>
        </w:rPr>
      </w:pPr>
      <w:r>
        <w:rPr>
          <w:rFonts w:hint="eastAsia" w:ascii="方正小标宋简体" w:hAnsi="宋体" w:eastAsia="方正小标宋简体"/>
          <w:b/>
          <w:color w:val="000000" w:themeColor="text1"/>
          <w:sz w:val="30"/>
          <w:szCs w:val="30"/>
          <w14:textFill>
            <w14:solidFill>
              <w14:schemeClr w14:val="tx1"/>
            </w14:solidFill>
          </w14:textFill>
        </w:rPr>
        <w:t>龙游县百益农副产品批发市场有限公司60%国有股权转让项目</w:t>
      </w:r>
    </w:p>
    <w:p>
      <w:pPr>
        <w:spacing w:line="400" w:lineRule="exact"/>
        <w:jc w:val="center"/>
        <w:rPr>
          <w:rFonts w:ascii="宋体" w:hAnsi="宋体"/>
          <w:b/>
          <w:color w:val="000000" w:themeColor="text1"/>
          <w:sz w:val="30"/>
          <w:szCs w:val="30"/>
          <w14:textFill>
            <w14:solidFill>
              <w14:schemeClr w14:val="tx1"/>
            </w14:solidFill>
          </w14:textFill>
        </w:rPr>
      </w:pPr>
      <w:r>
        <w:rPr>
          <w:rFonts w:hint="eastAsia" w:ascii="方正小标宋简体" w:hAnsi="宋体" w:eastAsia="方正小标宋简体"/>
          <w:b/>
          <w:color w:val="000000" w:themeColor="text1"/>
          <w:sz w:val="30"/>
          <w:szCs w:val="30"/>
          <w14:textFill>
            <w14:solidFill>
              <w14:schemeClr w14:val="tx1"/>
            </w14:solidFill>
          </w14:textFill>
        </w:rPr>
        <w:t>电子网络竞价会资料</w:t>
      </w:r>
    </w:p>
    <w:p>
      <w:pPr>
        <w:spacing w:line="400" w:lineRule="exact"/>
        <w:jc w:val="center"/>
        <w:rPr>
          <w:rFonts w:ascii="宋体" w:hAnsi="宋体"/>
          <w:b/>
          <w:color w:val="000000" w:themeColor="text1"/>
          <w:sz w:val="30"/>
          <w:szCs w:val="30"/>
          <w14:textFill>
            <w14:solidFill>
              <w14:schemeClr w14:val="tx1"/>
            </w14:solidFill>
          </w14:textFill>
        </w:rPr>
      </w:pPr>
    </w:p>
    <w:p>
      <w:pPr>
        <w:numPr>
          <w:ilvl w:val="0"/>
          <w:numId w:val="4"/>
        </w:numPr>
        <w:tabs>
          <w:tab w:val="left" w:pos="1680"/>
        </w:tabs>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竞价须知及特别约定</w:t>
      </w:r>
    </w:p>
    <w:p>
      <w:pPr>
        <w:numPr>
          <w:ilvl w:val="0"/>
          <w:numId w:val="4"/>
        </w:numPr>
        <w:tabs>
          <w:tab w:val="left" w:pos="1680"/>
        </w:tabs>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附件：《龙游县百益农副产品批发市场有限公司60%国有股权交易合同》（样稿）</w:t>
      </w:r>
    </w:p>
    <w:p>
      <w:pPr>
        <w:spacing w:line="500" w:lineRule="exact"/>
        <w:ind w:left="360"/>
        <w:jc w:val="right"/>
        <w:rPr>
          <w:rFonts w:ascii="宋体" w:hAnsi="宋体"/>
          <w:color w:val="000000" w:themeColor="text1"/>
          <w:szCs w:val="21"/>
          <w14:textFill>
            <w14:solidFill>
              <w14:schemeClr w14:val="tx1"/>
            </w14:solidFill>
          </w14:textFill>
        </w:rPr>
      </w:pPr>
    </w:p>
    <w:p>
      <w:pPr>
        <w:spacing w:line="520" w:lineRule="exact"/>
        <w:jc w:val="center"/>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u w:val="single"/>
          <w14:textFill>
            <w14:solidFill>
              <w14:schemeClr w14:val="tx1"/>
            </w14:solidFill>
          </w14:textFill>
        </w:rPr>
        <w:t>竞买申请及承诺</w:t>
      </w:r>
    </w:p>
    <w:p>
      <w:pPr>
        <w:spacing w:line="56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衢州市产权交易中心有限公司：</w:t>
      </w:r>
    </w:p>
    <w:p>
      <w:pPr>
        <w:spacing w:line="46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本方（人）已收到上述《</w:t>
      </w:r>
      <w:r>
        <w:rPr>
          <w:rFonts w:hint="eastAsia" w:ascii="宋体" w:hAnsi="宋体"/>
          <w:color w:val="000000" w:themeColor="text1"/>
          <w:szCs w:val="21"/>
          <w14:textFill>
            <w14:solidFill>
              <w14:schemeClr w14:val="tx1"/>
            </w14:solidFill>
          </w14:textFill>
        </w:rPr>
        <w:t>龙游县百益农副产品批发市场有限公司60%国有股</w:t>
      </w:r>
      <w:r>
        <w:rPr>
          <w:rFonts w:hint="eastAsia"/>
          <w:color w:val="000000" w:themeColor="text1"/>
          <w14:textFill>
            <w14:solidFill>
              <w14:schemeClr w14:val="tx1"/>
            </w14:solidFill>
          </w14:textFill>
        </w:rPr>
        <w:t>权转让项目电子网络竞价会资料》( 以下简称“竞价会资料”)且已认真阅读和理解全部内容。本方（人）愿意按竞价会资料中约定的受让条件受让</w:t>
      </w:r>
      <w:r>
        <w:rPr>
          <w:rFonts w:hint="eastAsia" w:ascii="宋体" w:hAnsi="宋体"/>
          <w:color w:val="000000" w:themeColor="text1"/>
          <w:szCs w:val="21"/>
          <w14:textFill>
            <w14:solidFill>
              <w14:schemeClr w14:val="tx1"/>
            </w14:solidFill>
          </w14:textFill>
        </w:rPr>
        <w:t>衢州市龙游县百益农副产品批发市场有限公司60%国有股</w:t>
      </w:r>
      <w:r>
        <w:rPr>
          <w:rFonts w:hint="eastAsia"/>
          <w:color w:val="000000" w:themeColor="text1"/>
          <w14:textFill>
            <w14:solidFill>
              <w14:schemeClr w14:val="tx1"/>
            </w14:solidFill>
          </w14:textFill>
        </w:rPr>
        <w:t>权（挂牌编号为：</w:t>
      </w:r>
      <w:r>
        <w:rPr>
          <w:rFonts w:hint="eastAsia"/>
          <w:color w:val="000000" w:themeColor="text1"/>
          <w14:textFill>
            <w14:solidFill>
              <w14:schemeClr w14:val="tx1"/>
            </w14:solidFill>
          </w14:textFill>
        </w:rPr>
        <w:t>ZJGQ2019092</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001</w:t>
      </w:r>
      <w:r>
        <w:rPr>
          <w:rFonts w:hint="eastAsia"/>
          <w:color w:val="000000" w:themeColor="text1"/>
          <w14:textFill>
            <w14:solidFill>
              <w14:schemeClr w14:val="tx1"/>
            </w14:solidFill>
          </w14:textFill>
        </w:rPr>
        <w:t>），并承诺如下：</w:t>
      </w:r>
    </w:p>
    <w:p>
      <w:pPr>
        <w:spacing w:line="460" w:lineRule="exact"/>
        <w:ind w:firstLine="420" w:firstLineChars="2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本方（人）同意</w:t>
      </w:r>
      <w:r>
        <w:rPr>
          <w:color w:val="000000" w:themeColor="text1"/>
          <w14:textFill>
            <w14:solidFill>
              <w14:schemeClr w14:val="tx1"/>
            </w14:solidFill>
          </w14:textFill>
        </w:rPr>
        <w:t>自</w:t>
      </w:r>
      <w:r>
        <w:rPr>
          <w:rFonts w:hint="eastAsia" w:ascii="宋体" w:hAnsi="宋体"/>
          <w:color w:val="000000" w:themeColor="text1"/>
          <w:szCs w:val="21"/>
          <w14:textFill>
            <w14:solidFill>
              <w14:schemeClr w14:val="tx1"/>
            </w14:solidFill>
          </w14:textFill>
        </w:rPr>
        <w:t>贵公司</w:t>
      </w:r>
      <w:r>
        <w:rPr>
          <w:color w:val="000000" w:themeColor="text1"/>
          <w14:textFill>
            <w14:solidFill>
              <w14:schemeClr w14:val="tx1"/>
            </w14:solidFill>
          </w14:textFill>
        </w:rPr>
        <w:t>发出资格确认</w:t>
      </w:r>
      <w:r>
        <w:rPr>
          <w:rFonts w:ascii="宋体" w:hAnsi="宋体"/>
          <w:color w:val="000000" w:themeColor="text1"/>
          <w:szCs w:val="21"/>
          <w14:textFill>
            <w14:solidFill>
              <w14:schemeClr w14:val="tx1"/>
            </w14:solidFill>
          </w14:textFill>
        </w:rPr>
        <w:t>函</w:t>
      </w:r>
      <w:r>
        <w:rPr>
          <w:rFonts w:hint="eastAsia" w:ascii="宋体" w:hAnsi="宋体"/>
          <w:color w:val="000000" w:themeColor="text1"/>
          <w:szCs w:val="21"/>
          <w14:textFill>
            <w14:solidFill>
              <w14:schemeClr w14:val="tx1"/>
            </w14:solidFill>
          </w14:textFill>
        </w:rPr>
        <w:t>后2个</w:t>
      </w:r>
      <w:r>
        <w:rPr>
          <w:rFonts w:ascii="宋体" w:hAnsi="宋体"/>
          <w:color w:val="000000" w:themeColor="text1"/>
          <w:szCs w:val="21"/>
          <w14:textFill>
            <w14:solidFill>
              <w14:schemeClr w14:val="tx1"/>
            </w14:solidFill>
          </w14:textFill>
        </w:rPr>
        <w:t>工作日内</w:t>
      </w:r>
      <w:r>
        <w:rPr>
          <w:rFonts w:hint="eastAsia" w:ascii="宋体" w:hAnsi="宋体"/>
          <w:color w:val="000000" w:themeColor="text1"/>
          <w:szCs w:val="21"/>
          <w14:textFill>
            <w14:solidFill>
              <w14:schemeClr w14:val="tx1"/>
            </w14:solidFill>
          </w14:textFill>
        </w:rPr>
        <w:t>将1000万元（竞买保证金）</w:t>
      </w:r>
      <w:r>
        <w:rPr>
          <w:rFonts w:hint="eastAsia" w:ascii="宋体" w:hAnsi="宋体"/>
          <w:color w:val="000000" w:themeColor="text1"/>
          <w:szCs w:val="21"/>
          <w14:textFill>
            <w14:solidFill>
              <w14:schemeClr w14:val="tx1"/>
            </w14:solidFill>
          </w14:textFill>
        </w:rPr>
        <w:t>打入衢州市产权交易中心有限公司指定账户（户名：衢州市产权交易中心有限公司，账号：1209210009049028267，开户银行：衢州市工行营业部</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，并同意按</w:t>
      </w:r>
      <w:r>
        <w:rPr>
          <w:rFonts w:hint="eastAsia"/>
          <w:color w:val="000000" w:themeColor="text1"/>
          <w14:textFill>
            <w14:solidFill>
              <w14:schemeClr w14:val="tx1"/>
            </w14:solidFill>
          </w14:textFill>
        </w:rPr>
        <w:t>竞价会</w:t>
      </w:r>
      <w:r>
        <w:rPr>
          <w:rFonts w:hint="eastAsia" w:ascii="宋体" w:hAnsi="宋体"/>
          <w:color w:val="000000" w:themeColor="text1"/>
          <w:szCs w:val="21"/>
          <w14:textFill>
            <w14:solidFill>
              <w14:schemeClr w14:val="tx1"/>
            </w14:solidFill>
          </w14:textFill>
        </w:rPr>
        <w:t>资料的</w:t>
      </w:r>
      <w:r>
        <w:rPr>
          <w:rFonts w:hint="eastAsia"/>
          <w:color w:val="000000" w:themeColor="text1"/>
          <w14:textFill>
            <w14:solidFill>
              <w14:schemeClr w14:val="tx1"/>
            </w14:solidFill>
          </w14:textFill>
        </w:rPr>
        <w:t>规定</w:t>
      </w:r>
      <w:r>
        <w:rPr>
          <w:rFonts w:hint="eastAsia" w:ascii="宋体" w:hAnsi="宋体"/>
          <w:color w:val="000000" w:themeColor="text1"/>
          <w:szCs w:val="21"/>
          <w14:textFill>
            <w14:solidFill>
              <w14:schemeClr w14:val="tx1"/>
            </w14:solidFill>
          </w14:textFill>
        </w:rPr>
        <w:t>处置竞买</w:t>
      </w:r>
      <w:r>
        <w:rPr>
          <w:rFonts w:hint="eastAsia"/>
          <w:color w:val="000000" w:themeColor="text1"/>
          <w14:textFill>
            <w14:solidFill>
              <w14:schemeClr w14:val="tx1"/>
            </w14:solidFill>
          </w14:textFill>
        </w:rPr>
        <w:t>保证金。</w:t>
      </w:r>
    </w:p>
    <w:p>
      <w:pPr>
        <w:spacing w:line="46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方承诺竞买报名时提交的全部的报名材料均真实、合法、有效，本方（人）确保自身主体资格和所提供的所有资料均能符合审批机关、相关管理部门对主体资格的要求。且本方确认在签署本竞买申请及承诺前已认真阅读竞价会资料的内容，已自行完成对本项目的全部尽职调查并对本项目的现状已全面知晓，承诺接受竞价会资料中各项条款的要求，并愿意按照本次竞价程序参与竞价和承担相应竞价结果。</w:t>
      </w:r>
    </w:p>
    <w:p>
      <w:pPr>
        <w:pStyle w:val="27"/>
        <w:ind w:firstLine="420"/>
        <w:rPr>
          <w:color w:val="000000" w:themeColor="text1"/>
          <w:sz w:val="21"/>
          <w:szCs w:val="24"/>
          <w14:textFill>
            <w14:solidFill>
              <w14:schemeClr w14:val="tx1"/>
            </w14:solidFill>
          </w14:textFill>
        </w:rPr>
      </w:pPr>
    </w:p>
    <w:p>
      <w:pPr>
        <w:pStyle w:val="27"/>
        <w:tabs>
          <w:tab w:val="left" w:pos="1080"/>
        </w:tabs>
        <w:ind w:firstLine="420"/>
        <w:rPr>
          <w:color w:val="000000" w:themeColor="text1"/>
          <w:sz w:val="21"/>
          <w:szCs w:val="24"/>
          <w14:textFill>
            <w14:solidFill>
              <w14:schemeClr w14:val="tx1"/>
            </w14:solidFill>
          </w14:textFill>
        </w:rPr>
      </w:pPr>
      <w:r>
        <w:rPr>
          <w:rFonts w:hint="eastAsia"/>
          <w:color w:val="000000" w:themeColor="text1"/>
          <w:sz w:val="21"/>
          <w:szCs w:val="24"/>
          <w14:textFill>
            <w14:solidFill>
              <w14:schemeClr w14:val="tx1"/>
            </w14:solidFill>
          </w14:textFill>
        </w:rPr>
        <w:t xml:space="preserve">      特此确认。</w:t>
      </w:r>
    </w:p>
    <w:p>
      <w:pPr>
        <w:pStyle w:val="27"/>
        <w:tabs>
          <w:tab w:val="left" w:pos="1080"/>
        </w:tabs>
        <w:ind w:firstLine="420"/>
        <w:rPr>
          <w:color w:val="000000" w:themeColor="text1"/>
          <w:sz w:val="21"/>
          <w:szCs w:val="24"/>
          <w14:textFill>
            <w14:solidFill>
              <w14:schemeClr w14:val="tx1"/>
            </w14:solidFill>
          </w14:textFill>
        </w:rPr>
      </w:pPr>
    </w:p>
    <w:p>
      <w:pPr>
        <w:pStyle w:val="27"/>
        <w:spacing w:line="600" w:lineRule="exact"/>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意向受让方（签字盖章）：________________________</w:t>
      </w:r>
    </w:p>
    <w:p>
      <w:pPr>
        <w:pStyle w:val="27"/>
        <w:spacing w:line="600" w:lineRule="exact"/>
        <w:ind w:right="26" w:firstLine="420"/>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日  期：________________________</w:t>
      </w:r>
    </w:p>
    <w:p>
      <w:pPr>
        <w:spacing w:line="360" w:lineRule="auto"/>
        <w:jc w:val="center"/>
        <w:rPr>
          <w:b/>
          <w:color w:val="000000" w:themeColor="text1"/>
          <w:sz w:val="32"/>
          <w:szCs w:val="32"/>
          <w14:textFill>
            <w14:solidFill>
              <w14:schemeClr w14:val="tx1"/>
            </w14:solidFill>
          </w14:textFill>
        </w:rPr>
      </w:pPr>
      <w:r>
        <w:rPr>
          <w:rFonts w:ascii="宋体" w:hAnsi="宋体"/>
          <w:color w:val="000000" w:themeColor="text1"/>
          <w:sz w:val="18"/>
          <w:szCs w:val="18"/>
          <w14:textFill>
            <w14:solidFill>
              <w14:schemeClr w14:val="tx1"/>
            </w14:solidFill>
          </w14:textFill>
        </w:rPr>
        <w:br w:type="page"/>
      </w:r>
      <w:r>
        <w:rPr>
          <w:rFonts w:hint="eastAsia" w:ascii="宋体" w:hAnsi="宋体"/>
          <w:b/>
          <w:color w:val="000000" w:themeColor="text1"/>
          <w:sz w:val="32"/>
          <w:szCs w:val="32"/>
          <w14:textFill>
            <w14:solidFill>
              <w14:schemeClr w14:val="tx1"/>
            </w14:solidFill>
          </w14:textFill>
        </w:rPr>
        <w:t>竞价须知及特别约定</w:t>
      </w:r>
    </w:p>
    <w:p>
      <w:pPr>
        <w:jc w:val="center"/>
        <w:rPr>
          <w:b/>
          <w:color w:val="000000" w:themeColor="text1"/>
          <w:sz w:val="18"/>
          <w:szCs w:val="18"/>
          <w14:textFill>
            <w14:solidFill>
              <w14:schemeClr w14:val="tx1"/>
            </w14:solidFill>
          </w14:textFill>
        </w:rPr>
      </w:pP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本公司（衢州市产权交易中心有限公司）受转让方的委托对其所持</w:t>
      </w:r>
      <w:r>
        <w:rPr>
          <w:rFonts w:hint="eastAsia" w:ascii="宋体" w:hAnsi="宋体"/>
          <w:color w:val="000000" w:themeColor="text1"/>
          <w:szCs w:val="21"/>
          <w14:textFill>
            <w14:solidFill>
              <w14:schemeClr w14:val="tx1"/>
            </w14:solidFill>
          </w14:textFill>
        </w:rPr>
        <w:t>龙游县百益农副产品批发市场有限公司60%国有股权</w:t>
      </w:r>
      <w:r>
        <w:rPr>
          <w:rFonts w:hint="eastAsia" w:ascii="宋体" w:hAnsi="宋体"/>
          <w:color w:val="000000" w:themeColor="text1"/>
          <w:szCs w:val="21"/>
          <w14:textFill>
            <w14:solidFill>
              <w14:schemeClr w14:val="tx1"/>
            </w14:solidFill>
          </w14:textFill>
        </w:rPr>
        <w:t>采用电子网络竞价形式进行组织转让</w:t>
      </w:r>
      <w:r>
        <w:rPr>
          <w:rFonts w:hint="eastAsia" w:ascii="宋体" w:hAnsi="宋体"/>
          <w:color w:val="000000" w:themeColor="text1"/>
          <w:szCs w:val="21"/>
          <w14:textFill>
            <w14:solidFill>
              <w14:schemeClr w14:val="tx1"/>
            </w14:solidFill>
          </w14:textFill>
        </w:rPr>
        <w:t>，为切实保障各竞价当事人的权利和义务，根据《中华人民共和国合同法》、《企业国有资产交易监督管理办法》（国务院国资委财政部令第32号）和《衢州市产权交易中心有限公司网络（电子）竞价实施办法（试行）》，本着公开、公平、公正、诚实信用的原则，特制定竞价须知及特别约定如下：</w:t>
      </w:r>
    </w:p>
    <w:p>
      <w:pPr>
        <w:numPr>
          <w:ilvl w:val="0"/>
          <w:numId w:val="5"/>
        </w:num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定义</w:t>
      </w:r>
    </w:p>
    <w:p>
      <w:pPr>
        <w:numPr>
          <w:ilvl w:val="0"/>
          <w:numId w:val="6"/>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标的：指龙游县百益农副产品批发市场有限公司60%国有股权。</w:t>
      </w:r>
    </w:p>
    <w:p>
      <w:pPr>
        <w:numPr>
          <w:ilvl w:val="0"/>
          <w:numId w:val="6"/>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本项目：指龙游县百益农副产品批发市场有限公司60%国有股权转让。</w:t>
      </w:r>
    </w:p>
    <w:p>
      <w:pPr>
        <w:numPr>
          <w:ilvl w:val="0"/>
          <w:numId w:val="6"/>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标的公司：指龙游县百益农副产品批发市场有限公司。</w:t>
      </w:r>
    </w:p>
    <w:p>
      <w:pPr>
        <w:numPr>
          <w:ilvl w:val="0"/>
          <w:numId w:val="6"/>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转让方：本项目转让方为龙游县商贸物流发展有限公司。</w:t>
      </w:r>
    </w:p>
    <w:p>
      <w:pPr>
        <w:numPr>
          <w:ilvl w:val="0"/>
          <w:numId w:val="6"/>
        </w:numPr>
        <w:rPr>
          <w:color w:val="000000" w:themeColor="text1"/>
          <w:sz w:val="28"/>
          <w14:textFill>
            <w14:solidFill>
              <w14:schemeClr w14:val="tx1"/>
            </w14:solidFill>
          </w14:textFill>
        </w:rPr>
      </w:pPr>
      <w:r>
        <w:rPr>
          <w:rFonts w:hint="eastAsia"/>
          <w:color w:val="000000" w:themeColor="text1"/>
          <w:szCs w:val="21"/>
          <w14:textFill>
            <w14:solidFill>
              <w14:schemeClr w14:val="tx1"/>
            </w14:solidFill>
          </w14:textFill>
        </w:rPr>
        <w:t>组织人：指衢州市产权交易中心有限公司。</w:t>
      </w:r>
    </w:p>
    <w:p>
      <w:pPr>
        <w:numPr>
          <w:ilvl w:val="0"/>
          <w:numId w:val="6"/>
        </w:numPr>
        <w:rPr>
          <w:color w:val="000000" w:themeColor="text1"/>
          <w:sz w:val="28"/>
          <w14:textFill>
            <w14:solidFill>
              <w14:schemeClr w14:val="tx1"/>
            </w14:solidFill>
          </w14:textFill>
        </w:rPr>
      </w:pPr>
      <w:r>
        <w:rPr>
          <w:rFonts w:hint="eastAsia"/>
          <w:color w:val="000000" w:themeColor="text1"/>
          <w:szCs w:val="21"/>
          <w14:textFill>
            <w14:solidFill>
              <w14:schemeClr w14:val="tx1"/>
            </w14:solidFill>
          </w14:textFill>
        </w:rPr>
        <w:t>意向受让方：指意向受让本次标的的主体。</w:t>
      </w:r>
    </w:p>
    <w:p>
      <w:pPr>
        <w:numPr>
          <w:ilvl w:val="0"/>
          <w:numId w:val="6"/>
        </w:numPr>
        <w:rPr>
          <w:color w:val="000000" w:themeColor="text1"/>
          <w:sz w:val="28"/>
          <w14:textFill>
            <w14:solidFill>
              <w14:schemeClr w14:val="tx1"/>
            </w14:solidFill>
          </w14:textFill>
        </w:rPr>
      </w:pPr>
      <w:r>
        <w:rPr>
          <w:rFonts w:hint="eastAsia"/>
          <w:color w:val="000000" w:themeColor="text1"/>
          <w:szCs w:val="21"/>
          <w14:textFill>
            <w14:solidFill>
              <w14:schemeClr w14:val="tx1"/>
            </w14:solidFill>
          </w14:textFill>
        </w:rPr>
        <w:t>竞买人：指经资格确认并按时交纳足额竞买保证金后参加竞买本次标的的意向受让方。</w:t>
      </w:r>
    </w:p>
    <w:p>
      <w:pPr>
        <w:numPr>
          <w:ilvl w:val="0"/>
          <w:numId w:val="6"/>
        </w:numPr>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受让方：</w:t>
      </w:r>
      <w:r>
        <w:rPr>
          <w:rFonts w:hint="eastAsia" w:ascii="宋体" w:hAnsi="宋体"/>
          <w:color w:val="000000" w:themeColor="text1"/>
          <w:szCs w:val="21"/>
          <w14:textFill>
            <w14:solidFill>
              <w14:schemeClr w14:val="tx1"/>
            </w14:solidFill>
          </w14:textFill>
        </w:rPr>
        <w:t>被确定为本项目受让主体的竞买人。</w:t>
      </w:r>
    </w:p>
    <w:p>
      <w:pPr>
        <w:numPr>
          <w:ilvl w:val="0"/>
          <w:numId w:val="6"/>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产权交易合同：指转让方与受让方就转让标的签订的《龙游县百益农副产品批发市场有限公司60%国有股权交易合同》。</w:t>
      </w:r>
    </w:p>
    <w:p>
      <w:pPr>
        <w:numPr>
          <w:ilvl w:val="0"/>
          <w:numId w:val="6"/>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竞买凭证：即竞价会通知，由组织人向已经资格确认并按时递交足额保证金的竞买人发放。</w:t>
      </w:r>
    </w:p>
    <w:p>
      <w:pPr>
        <w:numPr>
          <w:ilvl w:val="0"/>
          <w:numId w:val="6"/>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电子网络竞价（简称电子竞价）：指由组织人组织，在锁定除价格外的其他受让条件后，竞买人通过电子竞价系统自行报价，由报价最高者或同意以该最高价行使优先购买权的优先购买权人受让标的的方法。</w:t>
      </w:r>
    </w:p>
    <w:p>
      <w:pPr>
        <w:numPr>
          <w:ilvl w:val="0"/>
          <w:numId w:val="6"/>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报名截止时间：2019年</w:t>
      </w:r>
      <w:r>
        <w:rPr>
          <w:rFonts w:hint="eastAsia" w:ascii="宋体" w:hAnsi="宋体"/>
          <w:color w:val="000000" w:themeColor="text1"/>
          <w:szCs w:val="21"/>
          <w:highlight w:val="none"/>
          <w:u w:val="none"/>
          <w:lang w:val="en-US" w:eastAsia="zh-CN"/>
          <w14:textFill>
            <w14:solidFill>
              <w14:schemeClr w14:val="tx1"/>
            </w14:solidFill>
          </w14:textFill>
        </w:rPr>
        <w:t>10</w:t>
      </w:r>
      <w:r>
        <w:rPr>
          <w:rFonts w:hint="eastAsia" w:ascii="宋体" w:hAnsi="宋体"/>
          <w:color w:val="000000" w:themeColor="text1"/>
          <w:szCs w:val="21"/>
          <w:highlight w:val="none"/>
          <w:u w:val="none"/>
          <w14:textFill>
            <w14:solidFill>
              <w14:schemeClr w14:val="tx1"/>
            </w14:solidFill>
          </w14:textFill>
        </w:rPr>
        <w:t>月</w:t>
      </w:r>
      <w:r>
        <w:rPr>
          <w:rFonts w:hint="eastAsia" w:ascii="宋体" w:hAnsi="宋体"/>
          <w:color w:val="000000" w:themeColor="text1"/>
          <w:szCs w:val="21"/>
          <w:highlight w:val="none"/>
          <w:u w:val="none"/>
          <w:lang w:val="en-US" w:eastAsia="zh-CN"/>
          <w14:textFill>
            <w14:solidFill>
              <w14:schemeClr w14:val="tx1"/>
            </w14:solidFill>
          </w14:textFill>
        </w:rPr>
        <w:t>30</w:t>
      </w:r>
      <w:r>
        <w:rPr>
          <w:rFonts w:hint="eastAsia" w:ascii="宋体" w:hAnsi="宋体"/>
          <w:color w:val="000000" w:themeColor="text1"/>
          <w:szCs w:val="21"/>
          <w14:textFill>
            <w14:solidFill>
              <w14:schemeClr w14:val="tx1"/>
            </w14:solidFill>
          </w14:textFill>
        </w:rPr>
        <w:t>日下午</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时</w:t>
      </w:r>
      <w:r>
        <w:rPr>
          <w:rFonts w:hint="eastAsia" w:ascii="宋体" w:hAnsi="宋体"/>
          <w:color w:val="000000" w:themeColor="text1"/>
          <w:szCs w:val="21"/>
          <w:lang w:eastAsia="zh-CN"/>
          <w14:textFill>
            <w14:solidFill>
              <w14:schemeClr w14:val="tx1"/>
            </w14:solidFill>
          </w14:textFill>
        </w:rPr>
        <w:t>整</w:t>
      </w:r>
      <w:r>
        <w:rPr>
          <w:rFonts w:hint="eastAsia" w:ascii="宋体" w:hAnsi="宋体"/>
          <w:color w:val="000000" w:themeColor="text1"/>
          <w:szCs w:val="21"/>
          <w14:textFill>
            <w14:solidFill>
              <w14:schemeClr w14:val="tx1"/>
            </w14:solidFill>
          </w14:textFill>
        </w:rPr>
        <w:t>止。</w:t>
      </w:r>
    </w:p>
    <w:p>
      <w:pPr>
        <w:numPr>
          <w:ilvl w:val="0"/>
          <w:numId w:val="6"/>
        </w:numPr>
        <w:rPr>
          <w:color w:val="000000" w:themeColor="text1"/>
          <w:sz w:val="28"/>
          <w14:textFill>
            <w14:solidFill>
              <w14:schemeClr w14:val="tx1"/>
            </w14:solidFill>
          </w14:textFill>
        </w:rPr>
      </w:pPr>
      <w:r>
        <w:rPr>
          <w:rFonts w:hint="eastAsia"/>
          <w:color w:val="000000" w:themeColor="text1"/>
          <w:szCs w:val="21"/>
          <w14:textFill>
            <w14:solidFill>
              <w14:schemeClr w14:val="tx1"/>
            </w14:solidFill>
          </w14:textFill>
        </w:rPr>
        <w:t>竞买保证金到账截止时间：指竞买人的竞买保证金到达组织人指定账户的截止时间。</w:t>
      </w:r>
    </w:p>
    <w:p>
      <w:pPr>
        <w:numPr>
          <w:ilvl w:val="0"/>
          <w:numId w:val="5"/>
        </w:num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竞价须知</w:t>
      </w:r>
    </w:p>
    <w:p>
      <w:pPr>
        <w:numPr>
          <w:ilvl w:val="0"/>
          <w:numId w:val="7"/>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竞价程序及时间安排</w:t>
      </w:r>
    </w:p>
    <w:p>
      <w:pPr>
        <w:numPr>
          <w:ilvl w:val="1"/>
          <w:numId w:val="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本次竞价程序分为竞买报名、</w:t>
      </w:r>
      <w:r>
        <w:rPr>
          <w:rFonts w:hint="eastAsia"/>
          <w:color w:val="000000" w:themeColor="text1"/>
          <w14:textFill>
            <w14:solidFill>
              <w14:schemeClr w14:val="tx1"/>
            </w14:solidFill>
          </w14:textFill>
        </w:rPr>
        <w:t>递交竞买保证金</w:t>
      </w:r>
      <w:r>
        <w:rPr>
          <w:rFonts w:hint="eastAsia" w:ascii="宋体" w:hAnsi="宋体"/>
          <w:color w:val="000000" w:themeColor="text1"/>
          <w:szCs w:val="21"/>
          <w14:textFill>
            <w14:solidFill>
              <w14:schemeClr w14:val="tx1"/>
            </w14:solidFill>
          </w14:textFill>
        </w:rPr>
        <w:t>、竞价邀请</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确定受让方、签署产权交易合同。</w:t>
      </w:r>
    </w:p>
    <w:p>
      <w:pPr>
        <w:numPr>
          <w:ilvl w:val="0"/>
          <w:numId w:val="9"/>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竞买报名：符合本项目受让条件的意向受让方应在</w:t>
      </w:r>
      <w:r>
        <w:rPr>
          <w:rFonts w:ascii="宋体" w:hAnsi="宋体"/>
          <w:color w:val="000000" w:themeColor="text1"/>
          <w:szCs w:val="21"/>
          <w14:textFill>
            <w14:solidFill>
              <w14:schemeClr w14:val="tx1"/>
            </w14:solidFill>
          </w14:textFill>
        </w:rPr>
        <w:t>报名截止时间前向</w:t>
      </w:r>
      <w:r>
        <w:rPr>
          <w:rFonts w:hint="eastAsia" w:ascii="宋体" w:hAnsi="宋体"/>
          <w:color w:val="000000" w:themeColor="text1"/>
          <w:szCs w:val="21"/>
          <w14:textFill>
            <w14:solidFill>
              <w14:schemeClr w14:val="tx1"/>
            </w14:solidFill>
          </w14:textFill>
        </w:rPr>
        <w:t>衢州市产权交易中心有限公司</w:t>
      </w:r>
      <w:r>
        <w:rPr>
          <w:rFonts w:ascii="宋体" w:hAnsi="宋体"/>
          <w:color w:val="000000" w:themeColor="text1"/>
          <w:szCs w:val="21"/>
          <w14:textFill>
            <w14:solidFill>
              <w14:schemeClr w14:val="tx1"/>
            </w14:solidFill>
          </w14:textFill>
        </w:rPr>
        <w:t>递交全部竞买报名材料（</w:t>
      </w:r>
      <w:r>
        <w:rPr>
          <w:rFonts w:hint="eastAsia" w:ascii="宋体" w:hAnsi="宋体"/>
          <w:color w:val="000000" w:themeColor="text1"/>
          <w:szCs w:val="21"/>
          <w14:textFill>
            <w14:solidFill>
              <w14:schemeClr w14:val="tx1"/>
            </w14:solidFill>
          </w14:textFill>
        </w:rPr>
        <w:t>日常办理时间：工作日上午8：30－11：30，下午2：00-</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0</w:t>
      </w:r>
      <w:r>
        <w:rPr>
          <w:rFonts w:hint="eastAsia" w:ascii="宋体" w:hAnsi="宋体"/>
          <w:color w:val="000000" w:themeColor="text1"/>
          <w:szCs w:val="21"/>
          <w14:textFill>
            <w14:solidFill>
              <w14:schemeClr w14:val="tx1"/>
            </w14:solidFill>
          </w14:textFill>
        </w:rPr>
        <w:t>0，府东街208号二楼</w:t>
      </w:r>
      <w:r>
        <w:rPr>
          <w:rFonts w:ascii="宋体" w:hAnsi="宋体"/>
          <w:color w:val="000000" w:themeColor="text1"/>
          <w:szCs w:val="21"/>
          <w14:textFill>
            <w14:solidFill>
              <w14:schemeClr w14:val="tx1"/>
            </w14:solidFill>
          </w14:textFill>
        </w:rPr>
        <w:t>，逾期无效。</w:t>
      </w:r>
      <w:r>
        <w:rPr>
          <w:rFonts w:hint="eastAsia" w:ascii="宋体" w:hAnsi="宋体"/>
          <w:color w:val="000000" w:themeColor="text1"/>
          <w:szCs w:val="21"/>
          <w14:textFill>
            <w14:solidFill>
              <w14:schemeClr w14:val="tx1"/>
            </w14:solidFill>
          </w14:textFill>
        </w:rPr>
        <w:t>衢州市产权交易中心有限公司</w:t>
      </w:r>
      <w:r>
        <w:rPr>
          <w:rFonts w:ascii="宋体" w:hAnsi="宋体"/>
          <w:color w:val="000000" w:themeColor="text1"/>
          <w:szCs w:val="21"/>
          <w14:textFill>
            <w14:solidFill>
              <w14:schemeClr w14:val="tx1"/>
            </w14:solidFill>
          </w14:textFill>
        </w:rPr>
        <w:t>在收到递交全部竞买报名材料后，办理竞买报名登记手续。</w:t>
      </w:r>
    </w:p>
    <w:p>
      <w:pPr>
        <w:numPr>
          <w:ilvl w:val="0"/>
          <w:numId w:val="9"/>
        </w:numPr>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递交竞买保证金：竞买人应在竞买保证金到账截止时间前将竞买保证金汇入</w:t>
      </w:r>
      <w:r>
        <w:rPr>
          <w:rFonts w:hint="eastAsia" w:ascii="宋体" w:hAnsi="宋体"/>
          <w:color w:val="000000" w:themeColor="text1"/>
          <w:szCs w:val="21"/>
          <w14:textFill>
            <w14:solidFill>
              <w14:schemeClr w14:val="tx1"/>
            </w14:solidFill>
          </w14:textFill>
        </w:rPr>
        <w:t>衢州市产权交易中心有限公司</w:t>
      </w:r>
      <w:r>
        <w:rPr>
          <w:rFonts w:hint="eastAsia"/>
          <w:color w:val="000000" w:themeColor="text1"/>
          <w14:textFill>
            <w14:solidFill>
              <w14:schemeClr w14:val="tx1"/>
            </w14:solidFill>
          </w14:textFill>
        </w:rPr>
        <w:t>指定账户。</w:t>
      </w:r>
    </w:p>
    <w:p>
      <w:pPr>
        <w:numPr>
          <w:ilvl w:val="0"/>
          <w:numId w:val="9"/>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竞价邀请：组织人向竞买人发放竞买凭证。</w:t>
      </w:r>
    </w:p>
    <w:p>
      <w:pPr>
        <w:numPr>
          <w:ilvl w:val="0"/>
          <w:numId w:val="9"/>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确定受让方：依据本竞价会资料的规定确认受让方。</w:t>
      </w:r>
    </w:p>
    <w:p>
      <w:pPr>
        <w:numPr>
          <w:ilvl w:val="0"/>
          <w:numId w:val="9"/>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签署产权交易合同：转让方、受让方签署产权交易合同。</w:t>
      </w:r>
    </w:p>
    <w:p>
      <w:pPr>
        <w:numPr>
          <w:ilvl w:val="1"/>
          <w:numId w:val="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时间安排：</w:t>
      </w:r>
    </w:p>
    <w:p>
      <w:pPr>
        <w:numPr>
          <w:ilvl w:val="0"/>
          <w:numId w:val="10"/>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竞买报名时间：自公告发布之日起—</w:t>
      </w:r>
      <w:r>
        <w:rPr>
          <w:rFonts w:hint="eastAsia" w:ascii="宋体" w:hAnsi="宋体"/>
          <w:color w:val="000000" w:themeColor="text1"/>
          <w:szCs w:val="21"/>
          <w:highlight w:val="none"/>
          <w14:textFill>
            <w14:solidFill>
              <w14:schemeClr w14:val="tx1"/>
            </w14:solidFill>
          </w14:textFill>
        </w:rPr>
        <w:t>—2019</w:t>
      </w: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14:textFill>
            <w14:solidFill>
              <w14:schemeClr w14:val="tx1"/>
            </w14:solidFill>
          </w14:textFill>
        </w:rPr>
        <w:t>10</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30</w:t>
      </w:r>
      <w:r>
        <w:rPr>
          <w:rFonts w:ascii="宋体" w:hAnsi="宋体"/>
          <w:color w:val="000000" w:themeColor="text1"/>
          <w:szCs w:val="21"/>
          <w:highlight w:val="none"/>
          <w14:textFill>
            <w14:solidFill>
              <w14:schemeClr w14:val="tx1"/>
            </w14:solidFill>
          </w14:textFill>
        </w:rPr>
        <w:t>日</w:t>
      </w:r>
      <w:r>
        <w:rPr>
          <w:rFonts w:hint="eastAsia" w:ascii="宋体" w:hAnsi="宋体"/>
          <w:color w:val="000000" w:themeColor="text1"/>
          <w:szCs w:val="21"/>
          <w:lang w:eastAsia="zh-CN"/>
          <w14:textFill>
            <w14:solidFill>
              <w14:schemeClr w14:val="tx1"/>
            </w14:solidFill>
          </w14:textFill>
        </w:rPr>
        <w:t>止</w:t>
      </w:r>
      <w:r>
        <w:rPr>
          <w:rFonts w:hint="eastAsia" w:ascii="宋体" w:hAnsi="宋体"/>
          <w:color w:val="000000" w:themeColor="text1"/>
          <w:szCs w:val="21"/>
          <w14:textFill>
            <w14:solidFill>
              <w14:schemeClr w14:val="tx1"/>
            </w14:solidFill>
          </w14:textFill>
        </w:rPr>
        <w:t>。</w:t>
      </w:r>
    </w:p>
    <w:p>
      <w:pPr>
        <w:numPr>
          <w:ilvl w:val="0"/>
          <w:numId w:val="10"/>
        </w:numPr>
        <w:rPr>
          <w:color w:val="000000" w:themeColor="text1"/>
          <w14:textFill>
            <w14:solidFill>
              <w14:schemeClr w14:val="tx1"/>
            </w14:solidFill>
          </w14:textFill>
        </w:rPr>
      </w:pPr>
      <w:r>
        <w:rPr>
          <w:rFonts w:hint="eastAsia"/>
          <w:color w:val="000000" w:themeColor="text1"/>
          <w14:textFill>
            <w14:solidFill>
              <w14:schemeClr w14:val="tx1"/>
            </w14:solidFill>
          </w14:textFill>
        </w:rPr>
        <w:t>递交保证金：</w:t>
      </w:r>
      <w:r>
        <w:rPr>
          <w:color w:val="000000" w:themeColor="text1"/>
          <w14:textFill>
            <w14:solidFill>
              <w14:schemeClr w14:val="tx1"/>
            </w14:solidFill>
          </w14:textFill>
        </w:rPr>
        <w:t>意向受让方</w:t>
      </w:r>
      <w:r>
        <w:rPr>
          <w:rFonts w:hint="eastAsia" w:ascii="宋体" w:hAnsi="宋体"/>
          <w:color w:val="000000" w:themeColor="text1"/>
          <w:szCs w:val="21"/>
          <w14:textFill>
            <w14:solidFill>
              <w14:schemeClr w14:val="tx1"/>
            </w14:solidFill>
          </w14:textFill>
        </w:rPr>
        <w:t>应按竞价会资料规定的时间和要求</w:t>
      </w:r>
      <w:r>
        <w:rPr>
          <w:rFonts w:hint="eastAsia" w:ascii="宋体" w:hAnsi="宋体"/>
          <w:color w:val="000000" w:themeColor="text1"/>
          <w:szCs w:val="21"/>
          <w:lang w:val="en-US" w:eastAsia="zh-CN"/>
          <w14:textFill>
            <w14:solidFill>
              <w14:schemeClr w14:val="tx1"/>
            </w14:solidFill>
          </w14:textFill>
        </w:rPr>
        <w:t>递</w:t>
      </w:r>
      <w:r>
        <w:rPr>
          <w:rFonts w:hint="eastAsia" w:ascii="宋体" w:hAnsi="宋体"/>
          <w:color w:val="000000" w:themeColor="text1"/>
          <w:szCs w:val="21"/>
          <w14:textFill>
            <w14:solidFill>
              <w14:schemeClr w14:val="tx1"/>
            </w14:solidFill>
          </w14:textFill>
        </w:rPr>
        <w:t>交</w:t>
      </w:r>
      <w:r>
        <w:rPr>
          <w:rFonts w:hint="eastAsia"/>
          <w:color w:val="000000" w:themeColor="text1"/>
          <w14:textFill>
            <w14:solidFill>
              <w14:schemeClr w14:val="tx1"/>
            </w14:solidFill>
          </w14:textFill>
        </w:rPr>
        <w:t>竞买</w:t>
      </w:r>
      <w:r>
        <w:rPr>
          <w:rFonts w:hint="eastAsia" w:ascii="宋体" w:hAnsi="宋体"/>
          <w:color w:val="000000" w:themeColor="text1"/>
          <w:szCs w:val="21"/>
          <w14:textFill>
            <w14:solidFill>
              <w14:schemeClr w14:val="tx1"/>
            </w14:solidFill>
          </w14:textFill>
        </w:rPr>
        <w:t>保证金</w:t>
      </w:r>
      <w:r>
        <w:rPr>
          <w:rFonts w:hint="eastAsia"/>
          <w:color w:val="000000" w:themeColor="text1"/>
          <w14:textFill>
            <w14:solidFill>
              <w14:schemeClr w14:val="tx1"/>
            </w14:solidFill>
          </w14:textFill>
        </w:rPr>
        <w:t>。</w:t>
      </w:r>
    </w:p>
    <w:p>
      <w:pPr>
        <w:numPr>
          <w:ilvl w:val="0"/>
          <w:numId w:val="10"/>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竞价邀请：电子竞价会开始时间前。</w:t>
      </w:r>
    </w:p>
    <w:p>
      <w:pPr>
        <w:numPr>
          <w:ilvl w:val="0"/>
          <w:numId w:val="10"/>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电子竞价并确定受让方：根据竞价会通知载明时间举行电子竞价会，开始时间延迟的，以延迟后的开始时间为准，延迟时间一般不超过1小时，遇特殊情况或不可抗力时除外，组织人有权对此情况进行裁定。</w:t>
      </w:r>
    </w:p>
    <w:p>
      <w:pPr>
        <w:numPr>
          <w:ilvl w:val="0"/>
          <w:numId w:val="10"/>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签署产权交易合同：</w:t>
      </w:r>
      <w:r>
        <w:rPr>
          <w:color w:val="000000" w:themeColor="text1"/>
          <w14:textFill>
            <w14:solidFill>
              <w14:schemeClr w14:val="tx1"/>
            </w14:solidFill>
          </w14:textFill>
        </w:rPr>
        <w:t>被确定为</w:t>
      </w:r>
      <w:r>
        <w:rPr>
          <w:rFonts w:hint="eastAsia" w:ascii="宋体" w:hAnsi="宋体"/>
          <w:color w:val="000000" w:themeColor="text1"/>
          <w:szCs w:val="21"/>
          <w14:textFill>
            <w14:solidFill>
              <w14:schemeClr w14:val="tx1"/>
            </w14:solidFill>
          </w14:textFill>
        </w:rPr>
        <w:t>本项目受让主体的竞买人</w:t>
      </w:r>
      <w:r>
        <w:rPr>
          <w:color w:val="000000" w:themeColor="text1"/>
          <w14:textFill>
            <w14:solidFill>
              <w14:schemeClr w14:val="tx1"/>
            </w14:solidFill>
          </w14:textFill>
        </w:rPr>
        <w:t>后</w:t>
      </w:r>
      <w:r>
        <w:rPr>
          <w:rFonts w:hint="eastAsia"/>
          <w:color w:val="000000" w:themeColor="text1"/>
          <w:u w:val="single"/>
          <w14:textFill>
            <w14:solidFill>
              <w14:schemeClr w14:val="tx1"/>
            </w14:solidFill>
          </w14:textFill>
        </w:rPr>
        <w:t>3</w:t>
      </w:r>
      <w:r>
        <w:rPr>
          <w:rFonts w:hint="eastAsia"/>
          <w:color w:val="000000" w:themeColor="text1"/>
          <w14:textFill>
            <w14:solidFill>
              <w14:schemeClr w14:val="tx1"/>
            </w14:solidFill>
          </w14:textFill>
        </w:rPr>
        <w:t>个工作日</w:t>
      </w:r>
      <w:r>
        <w:rPr>
          <w:color w:val="000000" w:themeColor="text1"/>
          <w14:textFill>
            <w14:solidFill>
              <w14:schemeClr w14:val="tx1"/>
            </w14:solidFill>
          </w14:textFill>
        </w:rPr>
        <w:t>内同转让方</w:t>
      </w:r>
      <w:r>
        <w:rPr>
          <w:rFonts w:hint="eastAsia"/>
          <w:color w:val="000000" w:themeColor="text1"/>
          <w14:textFill>
            <w14:solidFill>
              <w14:schemeClr w14:val="tx1"/>
            </w14:solidFill>
          </w14:textFill>
        </w:rPr>
        <w:t>签署</w:t>
      </w:r>
      <w:r>
        <w:rPr>
          <w:rFonts w:ascii="宋体" w:hAnsi="宋体"/>
          <w:color w:val="000000" w:themeColor="text1"/>
          <w:szCs w:val="21"/>
          <w14:textFill>
            <w14:solidFill>
              <w14:schemeClr w14:val="tx1"/>
            </w14:solidFill>
          </w14:textFill>
        </w:rPr>
        <w:t>转让标的交易合同</w:t>
      </w:r>
      <w:r>
        <w:rPr>
          <w:rFonts w:hint="eastAsia" w:ascii="宋体" w:hAnsi="宋体"/>
          <w:color w:val="000000" w:themeColor="text1"/>
          <w:szCs w:val="21"/>
          <w14:textFill>
            <w14:solidFill>
              <w14:schemeClr w14:val="tx1"/>
            </w14:solidFill>
          </w14:textFill>
        </w:rPr>
        <w:t>。</w:t>
      </w:r>
    </w:p>
    <w:p>
      <w:pPr>
        <w:numPr>
          <w:ilvl w:val="0"/>
          <w:numId w:val="7"/>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本次电子竞价活动是在公开、公平、公正、诚实信用的原则下进行的，一切活动都具备法律效力。</w:t>
      </w:r>
    </w:p>
    <w:p>
      <w:pPr>
        <w:numPr>
          <w:ilvl w:val="0"/>
          <w:numId w:val="7"/>
        </w:numPr>
        <w:ind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意向受让方应具备并接受本次公告或有关规定中注明的竞买条件，否则不得参加竞买。意向受让方在办理竞买报名手续时应提交下列材料：（1）《</w:t>
      </w:r>
      <w:r>
        <w:rPr>
          <w:rFonts w:ascii="宋体" w:hAnsi="宋体"/>
          <w:color w:val="000000" w:themeColor="text1"/>
          <w:szCs w:val="21"/>
          <w14:textFill>
            <w14:solidFill>
              <w14:schemeClr w14:val="tx1"/>
            </w14:solidFill>
          </w14:textFill>
        </w:rPr>
        <w:t>产权受让申请登记文件</w:t>
      </w:r>
      <w:r>
        <w:rPr>
          <w:rFonts w:hint="eastAsia" w:ascii="宋体" w:hAnsi="宋体"/>
          <w:color w:val="000000" w:themeColor="text1"/>
          <w:szCs w:val="21"/>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及备注清单中的材料</w:t>
      </w:r>
      <w:r>
        <w:rPr>
          <w:rFonts w:hint="eastAsia" w:ascii="宋体" w:hAnsi="宋体"/>
          <w:color w:val="000000" w:themeColor="text1"/>
          <w:szCs w:val="21"/>
          <w14:textFill>
            <w14:solidFill>
              <w14:schemeClr w14:val="tx1"/>
            </w14:solidFill>
          </w14:textFill>
        </w:rPr>
        <w:t>；（2）组织人认为需要提交的其它文件或材料。</w:t>
      </w:r>
    </w:p>
    <w:p>
      <w:pPr>
        <w:numPr>
          <w:ilvl w:val="0"/>
          <w:numId w:val="7"/>
        </w:num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u w:val="single"/>
          <w14:textFill>
            <w14:solidFill>
              <w14:schemeClr w14:val="tx1"/>
            </w14:solidFill>
          </w14:textFill>
        </w:rPr>
        <w:t>意向受让方在本次标的挂牌期内，应认真阅读本竞价会资料。意向受让方</w:t>
      </w:r>
      <w:r>
        <w:rPr>
          <w:rFonts w:hint="eastAsia" w:ascii="宋体" w:hAnsi="宋体" w:cs="宋体"/>
          <w:b/>
          <w:color w:val="000000" w:themeColor="text1"/>
          <w:kern w:val="0"/>
          <w:szCs w:val="21"/>
          <w:u w:val="single"/>
          <w14:textFill>
            <w14:solidFill>
              <w14:schemeClr w14:val="tx1"/>
            </w14:solidFill>
          </w14:textFill>
        </w:rPr>
        <w:t>有异议的，应在竞买报名前提出。</w:t>
      </w:r>
      <w:r>
        <w:rPr>
          <w:rFonts w:hint="eastAsia" w:ascii="宋体" w:hAnsi="宋体"/>
          <w:b/>
          <w:color w:val="000000" w:themeColor="text1"/>
          <w:szCs w:val="21"/>
          <w:u w:val="single"/>
          <w14:textFill>
            <w14:solidFill>
              <w14:schemeClr w14:val="tx1"/>
            </w14:solidFill>
          </w14:textFill>
        </w:rPr>
        <w:t>意向受让方</w:t>
      </w:r>
      <w:r>
        <w:rPr>
          <w:rFonts w:hint="eastAsia" w:ascii="宋体" w:hAnsi="宋体" w:cs="宋体"/>
          <w:b/>
          <w:color w:val="000000" w:themeColor="text1"/>
          <w:kern w:val="0"/>
          <w:szCs w:val="21"/>
          <w:u w:val="single"/>
          <w14:textFill>
            <w14:solidFill>
              <w14:schemeClr w14:val="tx1"/>
            </w14:solidFill>
          </w14:textFill>
        </w:rPr>
        <w:t>完成报名手续后即表明已充分了解竞价项目的一切现状（包括</w:t>
      </w:r>
      <w:r>
        <w:rPr>
          <w:rFonts w:hint="eastAsia" w:ascii="宋体" w:hAnsi="宋体"/>
          <w:b/>
          <w:color w:val="000000" w:themeColor="text1"/>
          <w:szCs w:val="21"/>
          <w:u w:val="single"/>
          <w14:textFill>
            <w14:solidFill>
              <w14:schemeClr w14:val="tx1"/>
            </w14:solidFill>
          </w14:textFill>
        </w:rPr>
        <w:t>瑕疵</w:t>
      </w:r>
      <w:r>
        <w:rPr>
          <w:rFonts w:hint="eastAsia" w:ascii="宋体" w:hAnsi="宋体" w:cs="宋体"/>
          <w:b/>
          <w:color w:val="000000" w:themeColor="text1"/>
          <w:kern w:val="0"/>
          <w:szCs w:val="21"/>
          <w:u w:val="single"/>
          <w14:textFill>
            <w14:solidFill>
              <w14:schemeClr w14:val="tx1"/>
            </w14:solidFill>
          </w14:textFill>
        </w:rPr>
        <w:t>），接受本竞价会资料的全部内容和要求，并不以任何形式对本竞价会资料的内容提出异议。</w:t>
      </w:r>
      <w:r>
        <w:rPr>
          <w:rFonts w:hint="eastAsia" w:ascii="宋体" w:hAnsi="宋体"/>
          <w:b/>
          <w:color w:val="000000" w:themeColor="text1"/>
          <w:szCs w:val="21"/>
          <w:u w:val="single"/>
          <w14:textFill>
            <w14:solidFill>
              <w14:schemeClr w14:val="tx1"/>
            </w14:solidFill>
          </w14:textFill>
        </w:rPr>
        <w:t>组织人不承担和担保标的品质和相关瑕疵等任何责任。电子竞价</w:t>
      </w:r>
      <w:r>
        <w:rPr>
          <w:rFonts w:hint="eastAsia" w:ascii="宋体" w:hAnsi="宋体"/>
          <w:b/>
          <w:color w:val="000000" w:themeColor="text1"/>
          <w:szCs w:val="21"/>
          <w:u w:val="single"/>
          <w:lang w:eastAsia="zh-CN"/>
          <w14:textFill>
            <w14:solidFill>
              <w14:schemeClr w14:val="tx1"/>
            </w14:solidFill>
          </w14:textFill>
        </w:rPr>
        <w:t>开始后</w:t>
      </w:r>
      <w:r>
        <w:rPr>
          <w:rFonts w:hint="eastAsia" w:ascii="宋体" w:hAnsi="宋体"/>
          <w:b/>
          <w:color w:val="000000" w:themeColor="text1"/>
          <w:szCs w:val="21"/>
          <w:u w:val="single"/>
          <w14:textFill>
            <w14:solidFill>
              <w14:schemeClr w14:val="tx1"/>
            </w14:solidFill>
          </w14:textFill>
        </w:rPr>
        <w:t>，</w:t>
      </w:r>
      <w:r>
        <w:rPr>
          <w:rFonts w:hint="eastAsia" w:ascii="宋体" w:hAnsi="宋体"/>
          <w:b/>
          <w:color w:val="000000" w:themeColor="text1"/>
          <w:szCs w:val="21"/>
          <w:u w:val="single"/>
          <w:lang w:eastAsia="zh-CN"/>
          <w14:textFill>
            <w14:solidFill>
              <w14:schemeClr w14:val="tx1"/>
            </w14:solidFill>
          </w14:textFill>
        </w:rPr>
        <w:t>组织人</w:t>
      </w:r>
      <w:r>
        <w:rPr>
          <w:rFonts w:hint="eastAsia" w:ascii="宋体" w:hAnsi="宋体"/>
          <w:b/>
          <w:color w:val="000000" w:themeColor="text1"/>
          <w:szCs w:val="21"/>
          <w:u w:val="single"/>
          <w14:textFill>
            <w14:solidFill>
              <w14:schemeClr w14:val="tx1"/>
            </w14:solidFill>
          </w14:textFill>
        </w:rPr>
        <w:t>也不再回答竞买人提出的有关标的和竞价程序的任何问题。意向受让方报名竞买后，不得以事先未进行咨询等任何理由反悔，责任由意向受让方自负。意向受让方在办理查询手续或竞买报名登记手续后可以向组织人申请查阅产权转让标的的相关信息和材料。</w:t>
      </w:r>
    </w:p>
    <w:p>
      <w:pPr>
        <w:numPr>
          <w:ilvl w:val="0"/>
          <w:numId w:val="7"/>
        </w:numPr>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放弃优先购买权的原股东须按时登记报名、交纳竞买保证金，竞价当天须按时到达竞价会现场参与电子网络竞价。竞价过程中，有最高应价时，优先购买权人可以通过电子网络竞价系统行使优先购买权，如无更高应价，则归优先购买权人；如有更高应价，而优先购买权人不行使的，则归该应价最高的竞买人。</w:t>
      </w:r>
    </w:p>
    <w:p>
      <w:pPr>
        <w:numPr>
          <w:ilvl w:val="0"/>
          <w:numId w:val="7"/>
        </w:num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意向受让方</w:t>
      </w:r>
      <w:r>
        <w:rPr>
          <w:rFonts w:hint="eastAsia" w:ascii="宋体" w:hAnsi="宋体"/>
          <w:color w:val="000000" w:themeColor="text1"/>
          <w:szCs w:val="21"/>
          <w14:textFill>
            <w14:solidFill>
              <w14:schemeClr w14:val="tx1"/>
            </w14:solidFill>
          </w14:textFill>
        </w:rPr>
        <w:t>经资格确认并</w:t>
      </w:r>
      <w:r>
        <w:rPr>
          <w:rFonts w:ascii="宋体" w:hAnsi="宋体"/>
          <w:color w:val="000000" w:themeColor="text1"/>
          <w:szCs w:val="21"/>
          <w14:textFill>
            <w14:solidFill>
              <w14:schemeClr w14:val="tx1"/>
            </w14:solidFill>
          </w14:textFill>
        </w:rPr>
        <w:t>交纳全部</w:t>
      </w:r>
      <w:r>
        <w:rPr>
          <w:rFonts w:hint="eastAsia" w:ascii="宋体" w:hAnsi="宋体"/>
          <w:color w:val="000000" w:themeColor="text1"/>
          <w:szCs w:val="21"/>
          <w14:textFill>
            <w14:solidFill>
              <w14:schemeClr w14:val="tx1"/>
            </w14:solidFill>
          </w14:textFill>
        </w:rPr>
        <w:t>竞买</w:t>
      </w:r>
      <w:r>
        <w:rPr>
          <w:rFonts w:ascii="宋体" w:hAnsi="宋体"/>
          <w:color w:val="000000" w:themeColor="text1"/>
          <w:szCs w:val="21"/>
          <w14:textFill>
            <w14:solidFill>
              <w14:schemeClr w14:val="tx1"/>
            </w14:solidFill>
          </w14:textFill>
        </w:rPr>
        <w:t>保证金后获得参与竞价交易资格；逾期未交纳的，视为放弃受让意向。</w:t>
      </w:r>
    </w:p>
    <w:p>
      <w:pPr>
        <w:numPr>
          <w:ilvl w:val="0"/>
          <w:numId w:val="7"/>
        </w:numPr>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若至</w:t>
      </w:r>
      <w:r>
        <w:rPr>
          <w:color w:val="000000" w:themeColor="text1"/>
          <w14:textFill>
            <w14:solidFill>
              <w14:schemeClr w14:val="tx1"/>
            </w14:solidFill>
          </w14:textFill>
        </w:rPr>
        <w:t>竞买报名截止时间</w:t>
      </w:r>
      <w:r>
        <w:rPr>
          <w:rFonts w:hint="eastAsia"/>
          <w:color w:val="000000" w:themeColor="text1"/>
          <w14:textFill>
            <w14:solidFill>
              <w14:schemeClr w14:val="tx1"/>
            </w14:solidFill>
          </w14:textFill>
        </w:rPr>
        <w:t>止</w:t>
      </w:r>
      <w:r>
        <w:rPr>
          <w:color w:val="000000" w:themeColor="text1"/>
          <w14:textFill>
            <w14:solidFill>
              <w14:schemeClr w14:val="tx1"/>
            </w14:solidFill>
          </w14:textFill>
        </w:rPr>
        <w:t>，只有一家合格竞买人报名，</w:t>
      </w:r>
      <w:r>
        <w:rPr>
          <w:rFonts w:hint="eastAsia"/>
          <w:color w:val="000000" w:themeColor="text1"/>
          <w14:textFill>
            <w14:solidFill>
              <w14:schemeClr w14:val="tx1"/>
            </w14:solidFill>
          </w14:textFill>
        </w:rPr>
        <w:t>其在报名时的意向报价即为其正式报价。该竞买人应在</w:t>
      </w:r>
      <w:r>
        <w:rPr>
          <w:color w:val="000000" w:themeColor="text1"/>
          <w14:textFill>
            <w14:solidFill>
              <w14:schemeClr w14:val="tx1"/>
            </w14:solidFill>
          </w14:textFill>
        </w:rPr>
        <w:t>不变更公告挂牌时的受让条件和合同条款的前提下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在被确定为受让方后</w:t>
      </w:r>
      <w:r>
        <w:rPr>
          <w:rFonts w:hint="eastAsia"/>
          <w:color w:val="000000" w:themeColor="text1"/>
          <w:u w:val="single"/>
          <w14:textFill>
            <w14:solidFill>
              <w14:schemeClr w14:val="tx1"/>
            </w14:solidFill>
          </w14:textFill>
        </w:rPr>
        <w:t>3</w:t>
      </w:r>
      <w:r>
        <w:rPr>
          <w:rFonts w:hint="eastAsia"/>
          <w:color w:val="000000" w:themeColor="text1"/>
          <w14:textFill>
            <w14:solidFill>
              <w14:schemeClr w14:val="tx1"/>
            </w14:solidFill>
          </w14:textFill>
        </w:rPr>
        <w:t>个工作日</w:t>
      </w:r>
      <w:r>
        <w:rPr>
          <w:color w:val="000000" w:themeColor="text1"/>
          <w14:textFill>
            <w14:solidFill>
              <w14:schemeClr w14:val="tx1"/>
            </w14:solidFill>
          </w14:textFill>
        </w:rPr>
        <w:t>内同转让方</w:t>
      </w:r>
      <w:r>
        <w:rPr>
          <w:rFonts w:hint="eastAsia"/>
          <w:color w:val="000000" w:themeColor="text1"/>
          <w14:textFill>
            <w14:solidFill>
              <w14:schemeClr w14:val="tx1"/>
            </w14:solidFill>
          </w14:textFill>
        </w:rPr>
        <w:t>签署产权</w:t>
      </w:r>
      <w:r>
        <w:rPr>
          <w:color w:val="000000" w:themeColor="text1"/>
          <w14:textFill>
            <w14:solidFill>
              <w14:schemeClr w14:val="tx1"/>
            </w14:solidFill>
          </w14:textFill>
        </w:rPr>
        <w:t>交易合同</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成交价格根据竞价起始价和该竞买人正式报价按照孰高原则确定</w:t>
      </w:r>
      <w:r>
        <w:rPr>
          <w:color w:val="000000" w:themeColor="text1"/>
          <w14:textFill>
            <w14:solidFill>
              <w14:schemeClr w14:val="tx1"/>
            </w14:solidFill>
          </w14:textFill>
        </w:rPr>
        <w:t>。</w:t>
      </w:r>
    </w:p>
    <w:p>
      <w:pPr>
        <w:numPr>
          <w:ilvl w:val="0"/>
          <w:numId w:val="7"/>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经资格确认后</w:t>
      </w:r>
      <w:r>
        <w:rPr>
          <w:rFonts w:ascii="宋体" w:hAnsi="宋体"/>
          <w:color w:val="000000" w:themeColor="text1"/>
          <w:szCs w:val="21"/>
          <w14:textFill>
            <w14:solidFill>
              <w14:schemeClr w14:val="tx1"/>
            </w14:solidFill>
          </w14:textFill>
        </w:rPr>
        <w:t>，有两家或两家以上</w:t>
      </w:r>
      <w:r>
        <w:rPr>
          <w:rFonts w:hint="eastAsia"/>
          <w:color w:val="000000" w:themeColor="text1"/>
          <w:szCs w:val="21"/>
          <w14:textFill>
            <w14:solidFill>
              <w14:schemeClr w14:val="tx1"/>
            </w14:solidFill>
          </w14:textFill>
        </w:rPr>
        <w:t>意向受让方</w:t>
      </w:r>
      <w:r>
        <w:rPr>
          <w:rFonts w:hint="eastAsia" w:ascii="宋体" w:hAnsi="宋体"/>
          <w:color w:val="000000" w:themeColor="text1"/>
          <w:szCs w:val="21"/>
          <w14:textFill>
            <w14:solidFill>
              <w14:schemeClr w14:val="tx1"/>
            </w14:solidFill>
          </w14:textFill>
        </w:rPr>
        <w:t>按时递交竞买保证金</w:t>
      </w:r>
      <w:r>
        <w:rPr>
          <w:rFonts w:ascii="宋体" w:hAnsi="宋体"/>
          <w:color w:val="000000" w:themeColor="text1"/>
          <w:szCs w:val="21"/>
          <w14:textFill>
            <w14:solidFill>
              <w14:schemeClr w14:val="tx1"/>
            </w14:solidFill>
          </w14:textFill>
        </w:rPr>
        <w:t>，则按照</w:t>
      </w:r>
      <w:r>
        <w:rPr>
          <w:rFonts w:hint="eastAsia" w:ascii="宋体" w:hAnsi="宋体"/>
          <w:color w:val="000000" w:themeColor="text1"/>
          <w:szCs w:val="21"/>
          <w14:textFill>
            <w14:solidFill>
              <w14:schemeClr w14:val="tx1"/>
            </w14:solidFill>
          </w14:textFill>
        </w:rPr>
        <w:t>组织人网站</w:t>
      </w:r>
      <w:r>
        <w:rPr>
          <w:rFonts w:ascii="宋体" w:hAnsi="宋体"/>
          <w:color w:val="000000" w:themeColor="text1"/>
          <w:szCs w:val="21"/>
          <w14:textFill>
            <w14:solidFill>
              <w14:schemeClr w14:val="tx1"/>
            </w14:solidFill>
          </w14:textFill>
        </w:rPr>
        <w:t>最终确定时间采用竞价方式进行转让</w:t>
      </w:r>
      <w:r>
        <w:rPr>
          <w:rFonts w:hint="eastAsia" w:ascii="宋体" w:hAnsi="宋体"/>
          <w:color w:val="000000" w:themeColor="text1"/>
          <w:szCs w:val="21"/>
          <w14:textFill>
            <w14:solidFill>
              <w14:schemeClr w14:val="tx1"/>
            </w14:solidFill>
          </w14:textFill>
        </w:rPr>
        <w:t>。</w:t>
      </w:r>
    </w:p>
    <w:p>
      <w:pPr>
        <w:numPr>
          <w:ilvl w:val="0"/>
          <w:numId w:val="7"/>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本项目采取竞价方式转让时，竞买人应在竞价会开始前凭组织人确认并发放的竞买凭证进</w:t>
      </w:r>
      <w:r>
        <w:rPr>
          <w:rFonts w:hint="eastAsia" w:ascii="宋体" w:hAnsi="宋体"/>
          <w:color w:val="000000" w:themeColor="text1"/>
          <w:szCs w:val="21"/>
          <w:lang w:val="en-US" w:eastAsia="zh-CN"/>
          <w14:textFill>
            <w14:solidFill>
              <w14:schemeClr w14:val="tx1"/>
            </w14:solidFill>
          </w14:textFill>
        </w:rPr>
        <w:t>入电子</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val="en-US" w:eastAsia="zh-CN"/>
          <w14:textFill>
            <w14:solidFill>
              <w14:schemeClr w14:val="tx1"/>
            </w14:solidFill>
          </w14:textFill>
        </w:rPr>
        <w:t>平台</w:t>
      </w:r>
      <w:r>
        <w:rPr>
          <w:rFonts w:hint="eastAsia" w:ascii="宋体" w:hAnsi="宋体"/>
          <w:color w:val="000000" w:themeColor="text1"/>
          <w:szCs w:val="21"/>
          <w14:textFill>
            <w14:solidFill>
              <w14:schemeClr w14:val="tx1"/>
            </w14:solidFill>
          </w14:textFill>
        </w:rPr>
        <w:t>，以上凭证必须妥善保管，若因损坏、遗失、外借等所引起的法律责任由竞买人自负。竞买人参加竞买时法人应随带公章。</w:t>
      </w:r>
    </w:p>
    <w:p>
      <w:pPr>
        <w:numPr>
          <w:ilvl w:val="0"/>
          <w:numId w:val="7"/>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人将于挂牌报名期间，竞买人完成报名手续后10分钟内办理电子竞价登记手续。竞买人本人（竞买人为自然人时指自然人本人，竞买人为法人时指法人授权代表本人或法定代表人本人）须在电子竞价会开始时间前15分钟登陆电子竞价系统。</w:t>
      </w:r>
    </w:p>
    <w:p>
      <w:pPr>
        <w:numPr>
          <w:ilvl w:val="0"/>
          <w:numId w:val="7"/>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本次电子竞价采取连续报价方式进行，转让方未设有保留底价。</w:t>
      </w:r>
    </w:p>
    <w:p>
      <w:pPr>
        <w:numPr>
          <w:ilvl w:val="0"/>
          <w:numId w:val="7"/>
        </w:num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本次电子竞价会时长为2小时，具体时间以书面通知为准。本次电子竞价会设置延时出价功能，在电子竞价活动结束前，每最后90秒有竞买人出价，将自动延时90秒。</w:t>
      </w:r>
    </w:p>
    <w:p>
      <w:pPr>
        <w:numPr>
          <w:ilvl w:val="0"/>
          <w:numId w:val="7"/>
        </w:numPr>
        <w:rPr>
          <w:rFonts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首次报价不得低于挂牌转让价（即竞价起始价），下一轮报价应高于前一轮报价。每次报价的加价幅度为人民币</w:t>
      </w:r>
      <w:r>
        <w:rPr>
          <w:rFonts w:hint="eastAsia"/>
          <w:color w:val="000000" w:themeColor="text1"/>
          <w:highlight w:val="none"/>
          <w:u w:val="single"/>
          <w:lang w:val="en-US" w:eastAsia="zh-CN"/>
          <w14:textFill>
            <w14:solidFill>
              <w14:schemeClr w14:val="tx1"/>
            </w14:solidFill>
          </w14:textFill>
        </w:rPr>
        <w:t>叁</w:t>
      </w:r>
      <w:r>
        <w:rPr>
          <w:rFonts w:hint="eastAsia"/>
          <w:color w:val="000000" w:themeColor="text1"/>
          <w:highlight w:val="none"/>
          <w:u w:val="single"/>
          <w14:textFill>
            <w14:solidFill>
              <w14:schemeClr w14:val="tx1"/>
            </w14:solidFill>
          </w14:textFill>
        </w:rPr>
        <w:t>拾万</w:t>
      </w:r>
      <w:r>
        <w:rPr>
          <w:rFonts w:hint="eastAsia"/>
          <w:color w:val="000000" w:themeColor="text1"/>
          <w:highlight w:val="none"/>
          <w14:textFill>
            <w14:solidFill>
              <w14:schemeClr w14:val="tx1"/>
            </w14:solidFill>
          </w14:textFill>
        </w:rPr>
        <w:t>元或</w:t>
      </w:r>
      <w:r>
        <w:rPr>
          <w:rFonts w:hint="eastAsia"/>
          <w:color w:val="000000" w:themeColor="text1"/>
          <w:highlight w:val="none"/>
          <w:u w:val="single"/>
          <w:lang w:val="en-US" w:eastAsia="zh-CN"/>
          <w14:textFill>
            <w14:solidFill>
              <w14:schemeClr w14:val="tx1"/>
            </w14:solidFill>
          </w14:textFill>
        </w:rPr>
        <w:t>叁</w:t>
      </w:r>
      <w:r>
        <w:rPr>
          <w:rFonts w:hint="eastAsia"/>
          <w:color w:val="000000" w:themeColor="text1"/>
          <w:highlight w:val="none"/>
          <w:u w:val="single"/>
          <w14:textFill>
            <w14:solidFill>
              <w14:schemeClr w14:val="tx1"/>
            </w14:solidFill>
          </w14:textFill>
        </w:rPr>
        <w:t>拾万</w:t>
      </w:r>
      <w:r>
        <w:rPr>
          <w:rFonts w:hint="eastAsia"/>
          <w:color w:val="000000" w:themeColor="text1"/>
          <w:highlight w:val="none"/>
          <w14:textFill>
            <w14:solidFill>
              <w14:schemeClr w14:val="tx1"/>
            </w14:solidFill>
          </w14:textFill>
        </w:rPr>
        <w:t>元的整数倍，最低加价幅度为</w:t>
      </w:r>
      <w:r>
        <w:rPr>
          <w:rFonts w:hint="eastAsia"/>
          <w:color w:val="000000" w:themeColor="text1"/>
          <w:highlight w:val="none"/>
          <w:u w:val="single"/>
          <w:lang w:val="en-US" w:eastAsia="zh-CN"/>
          <w14:textFill>
            <w14:solidFill>
              <w14:schemeClr w14:val="tx1"/>
            </w14:solidFill>
          </w14:textFill>
        </w:rPr>
        <w:t>叁</w:t>
      </w:r>
      <w:r>
        <w:rPr>
          <w:rFonts w:hint="eastAsia"/>
          <w:color w:val="000000" w:themeColor="text1"/>
          <w:highlight w:val="none"/>
          <w:u w:val="single"/>
          <w14:textFill>
            <w14:solidFill>
              <w14:schemeClr w14:val="tx1"/>
            </w14:solidFill>
          </w14:textFill>
        </w:rPr>
        <w:t>拾万</w:t>
      </w:r>
      <w:r>
        <w:rPr>
          <w:rFonts w:hint="eastAsia"/>
          <w:color w:val="000000" w:themeColor="text1"/>
          <w:highlight w:val="none"/>
          <w14:textFill>
            <w14:solidFill>
              <w14:schemeClr w14:val="tx1"/>
            </w14:solidFill>
          </w14:textFill>
        </w:rPr>
        <w:t>元整。</w:t>
      </w:r>
    </w:p>
    <w:p>
      <w:pPr>
        <w:numPr>
          <w:ilvl w:val="0"/>
          <w:numId w:val="7"/>
        </w:numPr>
        <w:rPr>
          <w:rFonts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竞买人报价在电子竞价系统未确认之前可以撤回或者修改，一经确认，即不得撤销。</w:t>
      </w:r>
    </w:p>
    <w:p>
      <w:pPr>
        <w:numPr>
          <w:ilvl w:val="0"/>
          <w:numId w:val="7"/>
        </w:numPr>
        <w:rPr>
          <w:rFonts w:ascii="宋体" w:hAnsi="宋体"/>
          <w:b/>
          <w:bCs w:val="0"/>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应价时间截止，最高报价的竞</w:t>
      </w:r>
      <w:r>
        <w:rPr>
          <w:rFonts w:hint="eastAsia"/>
          <w:color w:val="000000" w:themeColor="text1"/>
          <w:highlight w:val="none"/>
          <w14:textFill>
            <w14:solidFill>
              <w14:schemeClr w14:val="tx1"/>
            </w14:solidFill>
          </w14:textFill>
        </w:rPr>
        <w:t>买人</w:t>
      </w:r>
      <w:r>
        <w:rPr>
          <w:rFonts w:hint="eastAsia" w:ascii="宋体" w:hAnsi="宋体"/>
          <w:color w:val="000000" w:themeColor="text1"/>
          <w:szCs w:val="21"/>
          <w:highlight w:val="none"/>
          <w14:textFill>
            <w14:solidFill>
              <w14:schemeClr w14:val="tx1"/>
            </w14:solidFill>
          </w14:textFill>
        </w:rPr>
        <w:t>或同意以该最高价行使优先购买权的优先购买权人</w:t>
      </w:r>
      <w:r>
        <w:rPr>
          <w:rFonts w:hint="eastAsia"/>
          <w:color w:val="000000" w:themeColor="text1"/>
          <w:highlight w:val="none"/>
          <w14:textFill>
            <w14:solidFill>
              <w14:schemeClr w14:val="tx1"/>
            </w14:solidFill>
          </w14:textFill>
        </w:rPr>
        <w:t>为受让方，</w:t>
      </w:r>
      <w:r>
        <w:rPr>
          <w:rFonts w:hint="eastAsia" w:ascii="宋体" w:hAnsi="宋体"/>
          <w:b/>
          <w:bCs w:val="0"/>
          <w:color w:val="000000" w:themeColor="text1"/>
          <w:szCs w:val="21"/>
          <w:highlight w:val="none"/>
          <w:u w:val="single"/>
          <w14:textFill>
            <w14:solidFill>
              <w14:schemeClr w14:val="tx1"/>
            </w14:solidFill>
          </w14:textFill>
        </w:rPr>
        <w:t>竞价成交后，竞买人应在被确定为受让方后</w:t>
      </w:r>
      <w:r>
        <w:rPr>
          <w:rFonts w:hint="eastAsia"/>
          <w:b/>
          <w:bCs w:val="0"/>
          <w:color w:val="000000" w:themeColor="text1"/>
          <w:highlight w:val="none"/>
          <w:u w:val="single"/>
          <w14:textFill>
            <w14:solidFill>
              <w14:schemeClr w14:val="tx1"/>
            </w14:solidFill>
          </w14:textFill>
        </w:rPr>
        <w:t>3个工作日</w:t>
      </w:r>
      <w:r>
        <w:rPr>
          <w:b/>
          <w:bCs w:val="0"/>
          <w:color w:val="000000" w:themeColor="text1"/>
          <w:highlight w:val="none"/>
          <w:u w:val="single"/>
          <w14:textFill>
            <w14:solidFill>
              <w14:schemeClr w14:val="tx1"/>
            </w14:solidFill>
          </w14:textFill>
        </w:rPr>
        <w:t>内</w:t>
      </w:r>
      <w:r>
        <w:rPr>
          <w:rFonts w:hint="eastAsia" w:ascii="宋体" w:hAnsi="宋体"/>
          <w:b/>
          <w:bCs w:val="0"/>
          <w:color w:val="000000" w:themeColor="text1"/>
          <w:szCs w:val="21"/>
          <w:highlight w:val="none"/>
          <w:u w:val="single"/>
          <w14:textFill>
            <w14:solidFill>
              <w14:schemeClr w14:val="tx1"/>
            </w14:solidFill>
          </w14:textFill>
        </w:rPr>
        <w:t>同转让方在组织人指定场所签订产权交易合同</w:t>
      </w:r>
      <w:r>
        <w:rPr>
          <w:rFonts w:hint="eastAsia"/>
          <w:b/>
          <w:bCs w:val="0"/>
          <w:color w:val="000000" w:themeColor="text1"/>
          <w:highlight w:val="none"/>
          <w14:textFill>
            <w14:solidFill>
              <w14:schemeClr w14:val="tx1"/>
            </w14:solidFill>
          </w14:textFill>
        </w:rPr>
        <w:t>。</w:t>
      </w:r>
    </w:p>
    <w:p>
      <w:pPr>
        <w:numPr>
          <w:ilvl w:val="0"/>
          <w:numId w:val="7"/>
        </w:numPr>
        <w:rPr>
          <w:rFonts w:ascii="宋体" w:hAnsi="宋体"/>
          <w:b/>
          <w:bCs w:val="0"/>
          <w:color w:val="000000" w:themeColor="text1"/>
          <w:szCs w:val="21"/>
          <w:highlight w:val="none"/>
          <w14:textFill>
            <w14:solidFill>
              <w14:schemeClr w14:val="tx1"/>
            </w14:solidFill>
          </w14:textFill>
        </w:rPr>
      </w:pPr>
      <w:r>
        <w:rPr>
          <w:rFonts w:hint="eastAsia"/>
          <w:b/>
          <w:bCs w:val="0"/>
          <w:color w:val="000000" w:themeColor="text1"/>
          <w:highlight w:val="none"/>
          <w:u w:val="single"/>
          <w14:textFill>
            <w14:solidFill>
              <w14:schemeClr w14:val="tx1"/>
            </w14:solidFill>
          </w14:textFill>
        </w:rPr>
        <w:t>因被确定的受让方违约放弃受让，致使转让方将标的再次挂牌转让，如再次挂牌转让的成交价格低于本次成交价格的，</w:t>
      </w:r>
      <w:r>
        <w:rPr>
          <w:rFonts w:hint="eastAsia"/>
          <w:b/>
          <w:bCs w:val="0"/>
          <w:color w:val="000000" w:themeColor="text1"/>
          <w:highlight w:val="none"/>
          <w:u w:val="single"/>
          <w:lang w:eastAsia="zh-CN"/>
          <w14:textFill>
            <w14:solidFill>
              <w14:schemeClr w14:val="tx1"/>
            </w14:solidFill>
          </w14:textFill>
        </w:rPr>
        <w:t>参照《最高人民法院关于人民法院网络司法拍卖若干问题的规定》处理。</w:t>
      </w:r>
    </w:p>
    <w:p>
      <w:pPr>
        <w:numPr>
          <w:ilvl w:val="0"/>
          <w:numId w:val="7"/>
        </w:numPr>
        <w:rPr>
          <w:rFonts w:ascii="宋体" w:hAnsi="宋体"/>
          <w:color w:val="000000" w:themeColor="text1"/>
          <w:szCs w:val="21"/>
          <w:highlight w:val="none"/>
          <w14:textFill>
            <w14:solidFill>
              <w14:schemeClr w14:val="tx1"/>
            </w14:solidFill>
          </w14:textFill>
        </w:rPr>
      </w:pPr>
      <w:r>
        <w:rPr>
          <w:rFonts w:hint="eastAsia" w:ascii="宋体" w:hAnsi="宋体"/>
          <w:b/>
          <w:bCs w:val="0"/>
          <w:color w:val="000000" w:themeColor="text1"/>
          <w:szCs w:val="21"/>
          <w:highlight w:val="none"/>
          <w:u w:val="single"/>
          <w14:textFill>
            <w14:solidFill>
              <w14:schemeClr w14:val="tx1"/>
            </w14:solidFill>
          </w14:textFill>
        </w:rPr>
        <w:t>竞价成交后，竞买人应在被确定为受让方后</w:t>
      </w:r>
      <w:r>
        <w:rPr>
          <w:rFonts w:hint="eastAsia"/>
          <w:b/>
          <w:bCs w:val="0"/>
          <w:color w:val="000000" w:themeColor="text1"/>
          <w:highlight w:val="none"/>
          <w:u w:val="single"/>
          <w14:textFill>
            <w14:solidFill>
              <w14:schemeClr w14:val="tx1"/>
            </w14:solidFill>
          </w14:textFill>
        </w:rPr>
        <w:t>3个工作日</w:t>
      </w:r>
      <w:r>
        <w:rPr>
          <w:b/>
          <w:bCs w:val="0"/>
          <w:color w:val="000000" w:themeColor="text1"/>
          <w:highlight w:val="none"/>
          <w:u w:val="single"/>
          <w14:textFill>
            <w14:solidFill>
              <w14:schemeClr w14:val="tx1"/>
            </w14:solidFill>
          </w14:textFill>
        </w:rPr>
        <w:t>内</w:t>
      </w:r>
      <w:r>
        <w:rPr>
          <w:rFonts w:hint="eastAsia" w:ascii="宋体" w:hAnsi="宋体"/>
          <w:b/>
          <w:bCs w:val="0"/>
          <w:color w:val="000000" w:themeColor="text1"/>
          <w:szCs w:val="21"/>
          <w:highlight w:val="none"/>
          <w:u w:val="single"/>
          <w14:textFill>
            <w14:solidFill>
              <w14:schemeClr w14:val="tx1"/>
            </w14:solidFill>
          </w14:textFill>
        </w:rPr>
        <w:t>同转让方在组织人指定场所签订产权交易合同</w:t>
      </w:r>
      <w:r>
        <w:rPr>
          <w:rFonts w:hint="eastAsia" w:ascii="宋体" w:hAnsi="宋体"/>
          <w:b/>
          <w:bCs w:val="0"/>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产权交易合同中除受让方相关信息及“转让价格”条款等手填条款外，其他条款均已确定而不得修改；转让价格为受让方在电子竞价交易系统中报出</w:t>
      </w:r>
      <w:bookmarkStart w:id="0" w:name="_GoBack"/>
      <w:bookmarkEnd w:id="0"/>
      <w:r>
        <w:rPr>
          <w:rFonts w:hint="eastAsia" w:ascii="宋体" w:hAnsi="宋体"/>
          <w:color w:val="000000" w:themeColor="text1"/>
          <w:szCs w:val="21"/>
          <w:highlight w:val="none"/>
          <w14:textFill>
            <w14:solidFill>
              <w14:schemeClr w14:val="tx1"/>
            </w14:solidFill>
          </w14:textFill>
        </w:rPr>
        <w:t>的经公证确认的有效最高报价。</w:t>
      </w:r>
    </w:p>
    <w:p>
      <w:pPr>
        <w:numPr>
          <w:ilvl w:val="0"/>
          <w:numId w:val="7"/>
        </w:numPr>
        <w:rPr>
          <w:rFonts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参与竞价但未被确定为受让方的竞买人，且未出现本竞价会资料规定应当扣除或不予退还竞买保证金情形的，</w:t>
      </w:r>
      <w:r>
        <w:rPr>
          <w:rFonts w:hint="eastAsia" w:ascii="宋体" w:hAnsi="宋体"/>
          <w:color w:val="000000" w:themeColor="text1"/>
          <w:szCs w:val="21"/>
          <w:highlight w:val="none"/>
          <w14:textFill>
            <w14:solidFill>
              <w14:schemeClr w14:val="tx1"/>
            </w14:solidFill>
          </w14:textFill>
        </w:rPr>
        <w:t>其已递交的竞买保证金在竞买活动结束后5个工作日内，全额无息予以退还。</w:t>
      </w:r>
    </w:p>
    <w:p>
      <w:pPr>
        <w:numPr>
          <w:ilvl w:val="0"/>
          <w:numId w:val="7"/>
        </w:num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受让方应按照竞买报名时其所提交并经组织人确认的《产权受让申请登记文件》中承诺的比例和时间向组织人</w:t>
      </w:r>
      <w:r>
        <w:rPr>
          <w:rFonts w:hint="eastAsia" w:ascii="宋体" w:hAnsi="宋体"/>
          <w:color w:val="000000" w:themeColor="text1"/>
          <w:spacing w:val="-4"/>
          <w:szCs w:val="21"/>
          <w:highlight w:val="none"/>
          <w14:textFill>
            <w14:solidFill>
              <w14:schemeClr w14:val="tx1"/>
            </w14:solidFill>
          </w14:textFill>
        </w:rPr>
        <w:t>交纳服务费</w:t>
      </w:r>
      <w:r>
        <w:rPr>
          <w:rFonts w:hint="eastAsia" w:ascii="宋体" w:hAnsi="宋体"/>
          <w:color w:val="000000" w:themeColor="text1"/>
          <w:szCs w:val="21"/>
          <w:highlight w:val="none"/>
          <w14:textFill>
            <w14:solidFill>
              <w14:schemeClr w14:val="tx1"/>
            </w14:solidFill>
          </w14:textFill>
        </w:rPr>
        <w:t>。</w:t>
      </w:r>
    </w:p>
    <w:p>
      <w:pPr>
        <w:numPr>
          <w:ilvl w:val="0"/>
          <w:numId w:val="7"/>
        </w:num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受让方应按产权交易合同的有关约定支付转让价款</w:t>
      </w:r>
      <w:r>
        <w:rPr>
          <w:rFonts w:hint="eastAsia" w:ascii="宋体" w:hAnsi="宋体"/>
          <w:color w:val="000000" w:themeColor="text1"/>
          <w:szCs w:val="21"/>
          <w:highlight w:val="none"/>
          <w:lang w:val="en-US" w:eastAsia="zh-CN"/>
          <w14:textFill>
            <w14:solidFill>
              <w14:schemeClr w14:val="tx1"/>
            </w14:solidFill>
          </w14:textFill>
        </w:rPr>
        <w:t>和</w:t>
      </w:r>
      <w:r>
        <w:rPr>
          <w:rFonts w:hint="eastAsia" w:ascii="宋体" w:hAnsi="宋体"/>
          <w:color w:val="000000" w:themeColor="text1"/>
          <w:szCs w:val="21"/>
          <w:highlight w:val="none"/>
          <w14:textFill>
            <w14:solidFill>
              <w14:schemeClr w14:val="tx1"/>
            </w14:solidFill>
          </w14:textFill>
        </w:rPr>
        <w:t>债务</w:t>
      </w:r>
      <w:r>
        <w:rPr>
          <w:rFonts w:hint="eastAsia" w:ascii="宋体" w:hAnsi="宋体"/>
          <w:color w:val="000000" w:themeColor="text1"/>
          <w:szCs w:val="21"/>
          <w:highlight w:val="none"/>
          <w:lang w:val="en-US" w:eastAsia="zh-CN"/>
          <w14:textFill>
            <w14:solidFill>
              <w14:schemeClr w14:val="tx1"/>
            </w14:solidFill>
          </w14:textFill>
        </w:rPr>
        <w:t>及利息</w:t>
      </w:r>
      <w:r>
        <w:rPr>
          <w:rFonts w:hint="eastAsia" w:ascii="宋体" w:hAnsi="宋体"/>
          <w:color w:val="000000" w:themeColor="text1"/>
          <w:szCs w:val="21"/>
          <w:highlight w:val="none"/>
          <w14:textFill>
            <w14:solidFill>
              <w14:schemeClr w14:val="tx1"/>
            </w14:solidFill>
          </w14:textFill>
        </w:rPr>
        <w:t>，否则</w:t>
      </w:r>
      <w:r>
        <w:rPr>
          <w:rFonts w:hint="eastAsia" w:ascii="宋体" w:hAnsi="宋体"/>
          <w:color w:val="000000" w:themeColor="text1"/>
          <w:szCs w:val="21"/>
          <w:highlight w:val="none"/>
          <w14:textFill>
            <w14:solidFill>
              <w14:schemeClr w14:val="tx1"/>
            </w14:solidFill>
          </w14:textFill>
        </w:rPr>
        <w:t>应按产权交易合同的约定承担违约责任。</w:t>
      </w:r>
      <w:r>
        <w:rPr>
          <w:rFonts w:hint="eastAsia"/>
          <w:color w:val="000000" w:themeColor="text1"/>
          <w:highlight w:val="none"/>
          <w14:textFill>
            <w14:solidFill>
              <w14:schemeClr w14:val="tx1"/>
            </w14:solidFill>
          </w14:textFill>
        </w:rPr>
        <w:t>组织人在收到受让方支付的转让价款后向受让方出具收款凭证</w:t>
      </w:r>
      <w:r>
        <w:rPr>
          <w:rFonts w:hint="eastAsia" w:ascii="宋体" w:hAnsi="宋体"/>
          <w:color w:val="000000" w:themeColor="text1"/>
          <w:szCs w:val="21"/>
          <w:highlight w:val="none"/>
          <w14:textFill>
            <w14:solidFill>
              <w14:schemeClr w14:val="tx1"/>
            </w14:solidFill>
          </w14:textFill>
        </w:rPr>
        <w:t xml:space="preserve">（收据）。    </w:t>
      </w:r>
    </w:p>
    <w:p>
      <w:pPr>
        <w:numPr>
          <w:ilvl w:val="0"/>
          <w:numId w:val="5"/>
        </w:num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标的相关情况</w:t>
      </w:r>
    </w:p>
    <w:p>
      <w:pPr>
        <w:numPr>
          <w:ilvl w:val="2"/>
          <w:numId w:val="11"/>
        </w:num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标的简</w:t>
      </w:r>
      <w:r>
        <w:rPr>
          <w:rFonts w:hint="eastAsia" w:ascii="宋体" w:hAnsi="宋体"/>
          <w:color w:val="000000" w:themeColor="text1"/>
          <w:szCs w:val="21"/>
          <w:highlight w:val="none"/>
          <w14:textFill>
            <w14:solidFill>
              <w14:schemeClr w14:val="tx1"/>
            </w14:solidFill>
          </w14:textFill>
        </w:rPr>
        <w:t>介(部分内容摘自评估报告等相关材料)</w:t>
      </w:r>
    </w:p>
    <w:p>
      <w:pPr>
        <w:numPr>
          <w:ilvl w:val="0"/>
          <w:numId w:val="12"/>
        </w:numPr>
        <w:rPr>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公司名称：</w:t>
      </w:r>
      <w:r>
        <w:rPr>
          <w:rFonts w:hint="eastAsia" w:ascii="宋体" w:hAnsi="宋体"/>
          <w:b/>
          <w:color w:val="000000" w:themeColor="text1"/>
          <w:highlight w:val="none"/>
          <w14:textFill>
            <w14:solidFill>
              <w14:schemeClr w14:val="tx1"/>
            </w14:solidFill>
          </w14:textFill>
        </w:rPr>
        <w:t>龙游县百益农副产品批发市场有限公司</w:t>
      </w:r>
      <w:r>
        <w:rPr>
          <w:rFonts w:hint="eastAsia" w:ascii="宋体" w:hAnsi="宋体"/>
          <w:color w:val="000000" w:themeColor="text1"/>
          <w:szCs w:val="21"/>
          <w:highlight w:val="none"/>
          <w14:textFill>
            <w14:solidFill>
              <w14:schemeClr w14:val="tx1"/>
            </w14:solidFill>
          </w14:textFill>
        </w:rPr>
        <w:t>；住所：</w:t>
      </w:r>
      <w:r>
        <w:rPr>
          <w:rFonts w:hint="eastAsia"/>
          <w:color w:val="000000" w:themeColor="text1"/>
          <w:highlight w:val="none"/>
          <w14:textFill>
            <w14:solidFill>
              <w14:schemeClr w14:val="tx1"/>
            </w14:solidFill>
          </w14:textFill>
        </w:rPr>
        <w:t>浙江省衢州市龙游县东华街道粮食市场B幢1-56、57室</w:t>
      </w:r>
    </w:p>
    <w:p>
      <w:pPr>
        <w:numPr>
          <w:ilvl w:val="0"/>
          <w:numId w:val="12"/>
        </w:num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w:t>
      </w:r>
      <w:r>
        <w:rPr>
          <w:rFonts w:hint="eastAsia" w:ascii="宋体" w:hAnsi="宋体"/>
          <w:color w:val="000000" w:themeColor="text1"/>
          <w:sz w:val="24"/>
          <w:highlight w:val="none"/>
          <w14:textFill>
            <w14:solidFill>
              <w14:schemeClr w14:val="tx1"/>
            </w14:solidFill>
          </w14:textFill>
        </w:rPr>
        <w:t>吕益鸿</w:t>
      </w:r>
      <w:r>
        <w:rPr>
          <w:rFonts w:hint="eastAsia" w:ascii="宋体" w:hAnsi="宋体"/>
          <w:color w:val="000000" w:themeColor="text1"/>
          <w:szCs w:val="21"/>
          <w:highlight w:val="none"/>
          <w14:textFill>
            <w14:solidFill>
              <w14:schemeClr w14:val="tx1"/>
            </w14:solidFill>
          </w14:textFill>
        </w:rPr>
        <w:t>，注册资本：</w:t>
      </w:r>
      <w:r>
        <w:rPr>
          <w:rFonts w:hint="eastAsia" w:ascii="宋体" w:hAnsi="宋体"/>
          <w:color w:val="000000" w:themeColor="text1"/>
          <w:sz w:val="24"/>
          <w:highlight w:val="none"/>
          <w14:textFill>
            <w14:solidFill>
              <w14:schemeClr w14:val="tx1"/>
            </w14:solidFill>
          </w14:textFill>
        </w:rPr>
        <w:t>伍仟万元整</w:t>
      </w:r>
    </w:p>
    <w:p>
      <w:pPr>
        <w:numPr>
          <w:ilvl w:val="0"/>
          <w:numId w:val="12"/>
        </w:num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公司类型：其他有限责任公司（非自然人投资或控股的法人独资），企业法人营业执照注册号：91330825MA2DG5T24P</w:t>
      </w:r>
    </w:p>
    <w:p>
      <w:pPr>
        <w:numPr>
          <w:ilvl w:val="0"/>
          <w:numId w:val="12"/>
        </w:num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经营范围：</w:t>
      </w:r>
      <w:r>
        <w:rPr>
          <w:rFonts w:hint="eastAsia" w:ascii="宋体" w:hAnsi="宋体"/>
          <w:color w:val="000000" w:themeColor="text1"/>
          <w:szCs w:val="24"/>
          <w:highlight w:val="none"/>
          <w14:textFill>
            <w14:solidFill>
              <w14:schemeClr w14:val="tx1"/>
            </w14:solidFill>
          </w14:textFill>
        </w:rPr>
        <w:t>市场开发、建设、经营；粮食收购；市场经营管理；农产品销售；货物及技术进出口；物业管理、酒店管理服务；设计、制作、代理及发布国内广告；会议及展览服务；蔬菜、水果种植；信息技术咨询服务。（依法须经批准的项目，经相关部门批准后方可开展经营活动）</w:t>
      </w:r>
    </w:p>
    <w:p>
      <w:pPr>
        <w:numPr>
          <w:ilvl w:val="0"/>
          <w:numId w:val="12"/>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w:t>
      </w:r>
      <w:r>
        <w:rPr>
          <w:rFonts w:hint="eastAsia" w:ascii="宋体" w:hAnsi="宋体"/>
          <w:color w:val="000000" w:themeColor="text1"/>
          <w:szCs w:val="21"/>
          <w:lang w:val="en-US" w:eastAsia="zh-CN"/>
          <w14:textFill>
            <w14:solidFill>
              <w14:schemeClr w14:val="tx1"/>
            </w14:solidFill>
          </w14:textFill>
        </w:rPr>
        <w:t>龙游县</w:t>
      </w:r>
      <w:r>
        <w:rPr>
          <w:rFonts w:hint="eastAsia" w:ascii="宋体" w:hAnsi="宋体"/>
          <w:color w:val="000000" w:themeColor="text1"/>
          <w:szCs w:val="21"/>
          <w14:textFill>
            <w14:solidFill>
              <w14:schemeClr w14:val="tx1"/>
            </w14:solidFill>
          </w14:textFill>
        </w:rPr>
        <w:t>市场监督管理局出具《股权变更登记》显示：截止2019年 9月</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日，标的公司前三位股权结构如下表所示：</w:t>
      </w:r>
    </w:p>
    <w:p>
      <w:pPr>
        <w:rPr>
          <w:color w:val="000000" w:themeColor="text1"/>
          <w:sz w:val="23"/>
          <w:szCs w:val="23"/>
          <w14:textFill>
            <w14:solidFill>
              <w14:schemeClr w14:val="tx1"/>
            </w14:solidFill>
          </w14:textFill>
        </w:rPr>
      </w:pPr>
    </w:p>
    <w:tbl>
      <w:tblPr>
        <w:tblStyle w:val="22"/>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序号</w:t>
            </w:r>
          </w:p>
        </w:tc>
        <w:tc>
          <w:tcPr>
            <w:tcW w:w="5103"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股东名称</w:t>
            </w:r>
          </w:p>
        </w:tc>
        <w:tc>
          <w:tcPr>
            <w:tcW w:w="1984"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p>
        </w:tc>
        <w:tc>
          <w:tcPr>
            <w:tcW w:w="5103" w:type="dxa"/>
            <w:vAlign w:val="center"/>
          </w:tcPr>
          <w:p>
            <w:pPr>
              <w:ind w:left="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龙游县商贸物流发展有限公司</w:t>
            </w:r>
          </w:p>
        </w:tc>
        <w:tc>
          <w:tcPr>
            <w:tcW w:w="1984"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p>
        </w:tc>
        <w:tc>
          <w:tcPr>
            <w:tcW w:w="5103" w:type="dxa"/>
            <w:vAlign w:val="center"/>
          </w:tcPr>
          <w:p>
            <w:pPr>
              <w:ind w:left="420"/>
              <w:jc w:val="center"/>
              <w:rPr>
                <w:rFonts w:ascii="宋体" w:hAnsi="宋体"/>
                <w:color w:val="000000" w:themeColor="text1"/>
                <w:szCs w:val="21"/>
                <w14:textFill>
                  <w14:solidFill>
                    <w14:schemeClr w14:val="tx1"/>
                  </w14:solidFill>
                </w14:textFill>
              </w:rPr>
            </w:pPr>
          </w:p>
        </w:tc>
        <w:tc>
          <w:tcPr>
            <w:tcW w:w="1984" w:type="dxa"/>
            <w:vAlign w:val="center"/>
          </w:tcPr>
          <w:p>
            <w:pPr>
              <w:jc w:val="cente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w:t>
            </w:r>
          </w:p>
        </w:tc>
        <w:tc>
          <w:tcPr>
            <w:tcW w:w="5103" w:type="dxa"/>
            <w:vAlign w:val="center"/>
          </w:tcPr>
          <w:p>
            <w:pPr>
              <w:ind w:left="420"/>
              <w:jc w:val="center"/>
              <w:rPr>
                <w:rFonts w:ascii="宋体" w:hAnsi="宋体"/>
                <w:color w:val="000000" w:themeColor="text1"/>
                <w:szCs w:val="21"/>
                <w14:textFill>
                  <w14:solidFill>
                    <w14:schemeClr w14:val="tx1"/>
                  </w14:solidFill>
                </w14:textFill>
              </w:rPr>
            </w:pPr>
          </w:p>
        </w:tc>
        <w:tc>
          <w:tcPr>
            <w:tcW w:w="1984" w:type="dxa"/>
            <w:vAlign w:val="center"/>
          </w:tcPr>
          <w:p>
            <w:pPr>
              <w:jc w:val="cente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6062" w:type="dxa"/>
            <w:gridSpan w:val="2"/>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合计</w:t>
            </w:r>
          </w:p>
        </w:tc>
        <w:tc>
          <w:tcPr>
            <w:tcW w:w="1984"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100%</w:t>
            </w:r>
          </w:p>
        </w:tc>
      </w:tr>
    </w:tbl>
    <w:p>
      <w:pPr>
        <w:autoSpaceDE w:val="0"/>
        <w:autoSpaceDN w:val="0"/>
        <w:adjustRightInd w:val="0"/>
        <w:ind w:firstLine="408"/>
        <w:jc w:val="left"/>
        <w:rPr>
          <w:rFonts w:ascii="宋体" w:hAnsi="宋体"/>
          <w:color w:val="000000" w:themeColor="text1"/>
          <w:szCs w:val="21"/>
          <w14:textFill>
            <w14:solidFill>
              <w14:schemeClr w14:val="tx1"/>
            </w14:solidFill>
          </w14:textFill>
        </w:rPr>
      </w:pPr>
    </w:p>
    <w:p>
      <w:pPr>
        <w:numPr>
          <w:ilvl w:val="2"/>
          <w:numId w:val="11"/>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特别事项说明（部分内容摘自评估报告等相关材料）</w:t>
      </w:r>
    </w:p>
    <w:p>
      <w:pPr>
        <w:autoSpaceDE w:val="0"/>
        <w:autoSpaceDN w:val="0"/>
        <w:adjustRightInd w:val="0"/>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次评估结论是反映评估对象在本次评估目的下，根据公开市场原则确定的现行公允市价，没有考虑特殊的交易方可能追加付出的价格等对评估价格的影响；同时，本报告也未考虑国家宏观经济政策发生变化以及遇有自然力和其他不可抗力对资产价格的影响。</w:t>
      </w:r>
    </w:p>
    <w:p>
      <w:pPr>
        <w:numPr>
          <w:ilvl w:val="2"/>
          <w:numId w:val="11"/>
        </w:numPr>
        <w:rPr>
          <w:color w:val="000000" w:themeColor="text1"/>
          <w14:textFill>
            <w14:solidFill>
              <w14:schemeClr w14:val="tx1"/>
            </w14:solidFill>
          </w14:textFill>
        </w:rPr>
      </w:pPr>
      <w:r>
        <w:rPr>
          <w:rFonts w:hint="eastAsia"/>
          <w:color w:val="000000" w:themeColor="text1"/>
          <w14:textFill>
            <w14:solidFill>
              <w14:schemeClr w14:val="tx1"/>
            </w14:solidFill>
          </w14:textFill>
        </w:rPr>
        <w:t>其他重要事项说明</w:t>
      </w:r>
    </w:p>
    <w:p>
      <w:pPr>
        <w:numPr>
          <w:ilvl w:val="0"/>
          <w:numId w:val="13"/>
        </w:numPr>
        <w:autoSpaceDE w:val="0"/>
        <w:autoSpaceDN w:val="0"/>
        <w:adjustRightIn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本次转让不涉及向</w:t>
      </w:r>
      <w:r>
        <w:rPr>
          <w:rFonts w:ascii="宋体" w:hAnsi="宋体"/>
          <w:color w:val="000000" w:themeColor="text1"/>
          <w:szCs w:val="21"/>
          <w14:textFill>
            <w14:solidFill>
              <w14:schemeClr w14:val="tx1"/>
            </w14:solidFill>
          </w14:textFill>
        </w:rPr>
        <w:t>管理层</w:t>
      </w:r>
      <w:r>
        <w:rPr>
          <w:rFonts w:hint="eastAsia" w:ascii="宋体" w:hAnsi="宋体"/>
          <w:color w:val="000000" w:themeColor="text1"/>
          <w:szCs w:val="21"/>
          <w14:textFill>
            <w14:solidFill>
              <w14:schemeClr w14:val="tx1"/>
            </w14:solidFill>
          </w14:textFill>
        </w:rPr>
        <w:t>转让</w:t>
      </w:r>
      <w:r>
        <w:rPr>
          <w:rFonts w:ascii="宋体" w:hAnsi="宋体"/>
          <w:color w:val="000000" w:themeColor="text1"/>
          <w:szCs w:val="21"/>
          <w14:textFill>
            <w14:solidFill>
              <w14:schemeClr w14:val="tx1"/>
            </w14:solidFill>
          </w14:textFill>
        </w:rPr>
        <w:t>。</w:t>
      </w:r>
    </w:p>
    <w:p>
      <w:pPr>
        <w:numPr>
          <w:ilvl w:val="0"/>
          <w:numId w:val="13"/>
        </w:numPr>
        <w:autoSpaceDE w:val="0"/>
        <w:autoSpaceDN w:val="0"/>
        <w:adjustRightInd w:val="0"/>
        <w:rPr>
          <w:color w:val="000000" w:themeColor="text1"/>
          <w14:textFill>
            <w14:solidFill>
              <w14:schemeClr w14:val="tx1"/>
            </w14:solidFill>
          </w14:textFill>
        </w:rPr>
      </w:pPr>
      <w:r>
        <w:rPr>
          <w:rFonts w:hint="eastAsia"/>
          <w:color w:val="000000" w:themeColor="text1"/>
          <w14:textFill>
            <w14:solidFill>
              <w14:schemeClr w14:val="tx1"/>
            </w14:solidFill>
          </w14:textFill>
        </w:rPr>
        <w:t>有关</w:t>
      </w:r>
      <w:r>
        <w:rPr>
          <w:rFonts w:hint="eastAsia" w:ascii="宋体" w:hAnsi="宋体"/>
          <w:color w:val="000000" w:themeColor="text1"/>
          <w:szCs w:val="21"/>
          <w14:textFill>
            <w14:solidFill>
              <w14:schemeClr w14:val="tx1"/>
            </w14:solidFill>
          </w14:textFill>
        </w:rPr>
        <w:t>标的公司</w:t>
      </w:r>
      <w:r>
        <w:rPr>
          <w:rFonts w:hint="eastAsia"/>
          <w:color w:val="000000" w:themeColor="text1"/>
          <w14:textFill>
            <w14:solidFill>
              <w14:schemeClr w14:val="tx1"/>
            </w14:solidFill>
          </w14:textFill>
        </w:rPr>
        <w:t>其他具体情况详见审计、评估机构出具的相应《审计报告》、《评估报告》等。</w:t>
      </w:r>
    </w:p>
    <w:p>
      <w:pPr>
        <w:numPr>
          <w:ilvl w:val="0"/>
          <w:numId w:val="5"/>
        </w:numPr>
        <w:rPr>
          <w:rFonts w:ascii="宋体" w:hAnsi="宋体"/>
          <w:color w:val="000000" w:themeColor="text1"/>
          <w:u w:val="single"/>
          <w14:textFill>
            <w14:solidFill>
              <w14:schemeClr w14:val="tx1"/>
            </w14:solidFill>
          </w14:textFill>
        </w:rPr>
      </w:pPr>
      <w:r>
        <w:rPr>
          <w:rFonts w:hint="eastAsia"/>
          <w:color w:val="000000" w:themeColor="text1"/>
          <w:szCs w:val="21"/>
          <w14:textFill>
            <w14:solidFill>
              <w14:schemeClr w14:val="tx1"/>
            </w14:solidFill>
          </w14:textFill>
        </w:rPr>
        <w:t>特别约定</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、主要交易条件：</w:t>
      </w:r>
    </w:p>
    <w:p>
      <w:pPr>
        <w:numPr>
          <w:ilvl w:val="0"/>
          <w:numId w:val="14"/>
        </w:num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挂牌价格</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3565</w:t>
      </w:r>
      <w:r>
        <w:rPr>
          <w:rFonts w:hint="eastAsia"/>
          <w:color w:val="000000" w:themeColor="text1"/>
          <w:szCs w:val="21"/>
          <w14:textFill>
            <w14:solidFill>
              <w14:schemeClr w14:val="tx1"/>
            </w14:solidFill>
          </w14:textFill>
        </w:rPr>
        <w:t>万元。</w:t>
      </w:r>
    </w:p>
    <w:p>
      <w:pPr>
        <w:numPr>
          <w:ilvl w:val="0"/>
          <w:numId w:val="14"/>
        </w:num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付款方式：合同</w:t>
      </w:r>
      <w:r>
        <w:rPr>
          <w:rFonts w:hint="eastAsia"/>
          <w:color w:val="000000" w:themeColor="text1"/>
          <w:szCs w:val="21"/>
          <w:lang w:eastAsia="zh-CN"/>
          <w14:textFill>
            <w14:solidFill>
              <w14:schemeClr w14:val="tx1"/>
            </w14:solidFill>
          </w14:textFill>
        </w:rPr>
        <w:t>签订</w:t>
      </w:r>
      <w:r>
        <w:rPr>
          <w:rFonts w:hint="eastAsia"/>
          <w:color w:val="000000" w:themeColor="text1"/>
          <w:szCs w:val="21"/>
          <w14:textFill>
            <w14:solidFill>
              <w14:schemeClr w14:val="tx1"/>
            </w14:solidFill>
          </w14:textFill>
        </w:rPr>
        <w:t>之日起5个工作日内一次性付款。</w:t>
      </w:r>
    </w:p>
    <w:p>
      <w:pPr>
        <w:numPr>
          <w:ilvl w:val="0"/>
          <w:numId w:val="14"/>
        </w:numPr>
        <w:autoSpaceDE w:val="0"/>
        <w:autoSpaceDN w:val="0"/>
        <w:adjustRightInd w:val="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意向受让方自衢州市产权交易中心有限公司发出资格确认函后2个工作日内应交纳壹仟万元竞买保证金至衢州市产权交易中心有限公司指定账户，意向受让方在规定时间内交纳全部竞买保证金后获得参与竞价交易资格。产权交易合同签订后，受让方交纳的竞买保证金</w:t>
      </w:r>
      <w:r>
        <w:rPr>
          <w:rFonts w:hint="eastAsia"/>
          <w:color w:val="000000" w:themeColor="text1"/>
          <w:szCs w:val="21"/>
          <w:highlight w:val="none"/>
          <w:lang w:eastAsia="zh-CN"/>
          <w14:textFill>
            <w14:solidFill>
              <w14:schemeClr w14:val="tx1"/>
            </w14:solidFill>
          </w14:textFill>
        </w:rPr>
        <w:t>在扣除交易手续费后的余额可</w:t>
      </w:r>
      <w:r>
        <w:rPr>
          <w:rFonts w:hint="eastAsia"/>
          <w:color w:val="000000" w:themeColor="text1"/>
          <w:szCs w:val="21"/>
          <w:highlight w:val="none"/>
          <w14:textFill>
            <w14:solidFill>
              <w14:schemeClr w14:val="tx1"/>
            </w14:solidFill>
          </w14:textFill>
        </w:rPr>
        <w:t>转为转让价款的组成部分</w:t>
      </w:r>
      <w:r>
        <w:rPr>
          <w:rFonts w:hint="eastAsia"/>
          <w:color w:val="000000" w:themeColor="text1"/>
          <w:highlight w:val="none"/>
          <w14:textFill>
            <w14:solidFill>
              <w14:schemeClr w14:val="tx1"/>
            </w14:solidFill>
          </w14:textFill>
        </w:rPr>
        <w:t>及其他应支付给甲方款项的一部分</w:t>
      </w:r>
      <w:r>
        <w:rPr>
          <w:rFonts w:hint="eastAsia"/>
          <w:color w:val="000000" w:themeColor="text1"/>
          <w:szCs w:val="21"/>
          <w:highlight w:val="none"/>
          <w:lang w:eastAsia="zh-CN"/>
          <w14:textFill>
            <w14:solidFill>
              <w14:schemeClr w14:val="tx1"/>
            </w14:solidFill>
          </w14:textFill>
        </w:rPr>
        <w:t>。</w:t>
      </w:r>
    </w:p>
    <w:p>
      <w:pPr>
        <w:numPr>
          <w:ilvl w:val="0"/>
          <w:numId w:val="0"/>
        </w:numPr>
        <w:ind w:firstLine="420" w:firstLineChars="200"/>
        <w:rPr>
          <w:rFonts w:hint="eastAsia"/>
          <w:color w:val="000000" w:themeColor="text1"/>
          <w:szCs w:val="21"/>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 xml:space="preserve">4.   </w:t>
      </w:r>
      <w:r>
        <w:rPr>
          <w:rFonts w:hint="eastAsia"/>
          <w:color w:val="000000" w:themeColor="text1"/>
          <w:szCs w:val="21"/>
          <w:highlight w:val="none"/>
          <w14:textFill>
            <w14:solidFill>
              <w14:schemeClr w14:val="tx1"/>
            </w14:solidFill>
          </w14:textFill>
        </w:rPr>
        <w:t>产权转让涉及的债权债</w:t>
      </w:r>
      <w:r>
        <w:rPr>
          <w:rFonts w:hint="eastAsia"/>
          <w:color w:val="000000" w:themeColor="text1"/>
          <w:szCs w:val="21"/>
          <w14:textFill>
            <w14:solidFill>
              <w14:schemeClr w14:val="tx1"/>
            </w14:solidFill>
          </w14:textFill>
        </w:rPr>
        <w:t>务处置要求：股权转让成交后，</w:t>
      </w:r>
      <w:r>
        <w:rPr>
          <w:rFonts w:hint="eastAsia"/>
          <w:color w:val="000000" w:themeColor="text1"/>
          <w:szCs w:val="21"/>
          <w:lang w:eastAsia="zh-CN"/>
          <w14:textFill>
            <w14:solidFill>
              <w14:schemeClr w14:val="tx1"/>
            </w14:solidFill>
          </w14:textFill>
        </w:rPr>
        <w:t>转让方</w:t>
      </w:r>
      <w:r>
        <w:rPr>
          <w:rFonts w:hint="eastAsia"/>
          <w:color w:val="000000" w:themeColor="text1"/>
          <w:szCs w:val="21"/>
          <w14:textFill>
            <w14:solidFill>
              <w14:schemeClr w14:val="tx1"/>
            </w14:solidFill>
          </w14:textFill>
        </w:rPr>
        <w:t>持有的</w:t>
      </w:r>
      <w:r>
        <w:rPr>
          <w:rFonts w:hint="eastAsia"/>
          <w:color w:val="000000" w:themeColor="text1"/>
          <w:szCs w:val="21"/>
          <w:lang w:eastAsia="zh-CN"/>
          <w14:textFill>
            <w14:solidFill>
              <w14:schemeClr w14:val="tx1"/>
            </w14:solidFill>
          </w14:textFill>
        </w:rPr>
        <w:t>标的公司</w:t>
      </w:r>
      <w:r>
        <w:rPr>
          <w:rFonts w:hint="eastAsia"/>
          <w:color w:val="000000" w:themeColor="text1"/>
          <w:szCs w:val="21"/>
          <w14:textFill>
            <w14:solidFill>
              <w14:schemeClr w14:val="tx1"/>
            </w14:solidFill>
          </w14:textFill>
        </w:rPr>
        <w:t>60%国有股权的一切债权债务和法律责任均由受让方享受承担。</w:t>
      </w:r>
    </w:p>
    <w:p>
      <w:pPr>
        <w:numPr>
          <w:ilvl w:val="0"/>
          <w:numId w:val="0"/>
        </w:numPr>
        <w:autoSpaceDE w:val="0"/>
        <w:autoSpaceDN w:val="0"/>
        <w:adjustRightInd w:val="0"/>
        <w:ind w:firstLine="420" w:firstLineChars="200"/>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5.   </w:t>
      </w:r>
      <w:r>
        <w:rPr>
          <w:rFonts w:hint="eastAsia"/>
          <w:color w:val="000000" w:themeColor="text1"/>
          <w:szCs w:val="21"/>
          <w14:textFill>
            <w14:solidFill>
              <w14:schemeClr w14:val="tx1"/>
            </w14:solidFill>
          </w14:textFill>
        </w:rPr>
        <w:t>资产评估基准日到转让完成日期间经审计的损益处理方式：由新股东按各自持股比例享受承担。</w:t>
      </w:r>
    </w:p>
    <w:p>
      <w:pPr>
        <w:numPr>
          <w:ilvl w:val="0"/>
          <w:numId w:val="0"/>
        </w:numPr>
        <w:autoSpaceDE w:val="0"/>
        <w:autoSpaceDN w:val="0"/>
        <w:adjustRightInd w:val="0"/>
        <w:ind w:firstLine="420" w:firstLineChars="200"/>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6.   </w:t>
      </w:r>
      <w:r>
        <w:rPr>
          <w:rFonts w:hint="eastAsia"/>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受让方须</w:t>
      </w:r>
      <w:r>
        <w:rPr>
          <w:rFonts w:hint="eastAsia"/>
          <w:color w:val="000000" w:themeColor="text1"/>
          <w:szCs w:val="21"/>
          <w:lang w:val="en-US" w:eastAsia="zh-CN"/>
          <w14:textFill>
            <w14:solidFill>
              <w14:schemeClr w14:val="tx1"/>
            </w14:solidFill>
          </w14:textFill>
        </w:rPr>
        <w:t>在支</w:t>
      </w:r>
      <w:r>
        <w:rPr>
          <w:rFonts w:hint="eastAsia"/>
          <w:color w:val="000000" w:themeColor="text1"/>
          <w:szCs w:val="21"/>
          <w14:textFill>
            <w14:solidFill>
              <w14:schemeClr w14:val="tx1"/>
            </w14:solidFill>
          </w14:textFill>
        </w:rPr>
        <w:t>付股权转让成交价款的同时，支付</w:t>
      </w:r>
      <w:r>
        <w:rPr>
          <w:rFonts w:hint="eastAsia"/>
          <w:color w:val="000000" w:themeColor="text1"/>
          <w:szCs w:val="21"/>
          <w:lang w:val="en-US" w:eastAsia="zh-CN"/>
          <w14:textFill>
            <w14:solidFill>
              <w14:schemeClr w14:val="tx1"/>
            </w14:solidFill>
          </w14:textFill>
        </w:rPr>
        <w:t>标的企业</w:t>
      </w:r>
      <w:r>
        <w:rPr>
          <w:rFonts w:hint="eastAsia"/>
          <w:color w:val="000000" w:themeColor="text1"/>
          <w:szCs w:val="21"/>
          <w14:textFill>
            <w14:solidFill>
              <w14:schemeClr w14:val="tx1"/>
            </w14:solidFill>
          </w14:textFill>
        </w:rPr>
        <w:t>所欠龙游</w:t>
      </w:r>
      <w:r>
        <w:rPr>
          <w:rFonts w:hint="eastAsia"/>
          <w:color w:val="000000" w:themeColor="text1"/>
          <w:szCs w:val="21"/>
          <w:lang w:val="en-US" w:eastAsia="zh-CN"/>
          <w14:textFill>
            <w14:solidFill>
              <w14:schemeClr w14:val="tx1"/>
            </w14:solidFill>
          </w14:textFill>
        </w:rPr>
        <w:t>县</w:t>
      </w:r>
      <w:r>
        <w:rPr>
          <w:rFonts w:hint="eastAsia"/>
          <w:color w:val="000000" w:themeColor="text1"/>
          <w:szCs w:val="21"/>
          <w14:textFill>
            <w14:solidFill>
              <w14:schemeClr w14:val="tx1"/>
            </w14:solidFill>
          </w14:textFill>
        </w:rPr>
        <w:t>商贸物流发展有限公司</w:t>
      </w:r>
      <w:r>
        <w:rPr>
          <w:rFonts w:hint="eastAsia"/>
          <w:color w:val="000000" w:themeColor="text1"/>
          <w:szCs w:val="21"/>
          <w:lang w:val="en-US" w:eastAsia="zh-CN"/>
          <w14:textFill>
            <w14:solidFill>
              <w14:schemeClr w14:val="tx1"/>
            </w14:solidFill>
          </w14:textFill>
        </w:rPr>
        <w:t>及其他关联方</w:t>
      </w:r>
      <w:r>
        <w:rPr>
          <w:rFonts w:hint="eastAsia"/>
          <w:color w:val="000000" w:themeColor="text1"/>
          <w:szCs w:val="21"/>
          <w14:textFill>
            <w14:solidFill>
              <w14:schemeClr w14:val="tx1"/>
            </w14:solidFill>
          </w14:textFill>
        </w:rPr>
        <w:t>60%的借款</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计人民币1806万元</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及自借款起始日至股权转让合同签订日期间产生的利息（按借款合同约定的年利率5.88%计算）。</w:t>
      </w:r>
    </w:p>
    <w:p>
      <w:pPr>
        <w:numPr>
          <w:ilvl w:val="0"/>
          <w:numId w:val="0"/>
        </w:numPr>
        <w:autoSpaceDE w:val="0"/>
        <w:autoSpaceDN w:val="0"/>
        <w:adjustRightInd w:val="0"/>
        <w:ind w:firstLine="420" w:firstLineChars="200"/>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7.   </w:t>
      </w:r>
      <w:r>
        <w:rPr>
          <w:rFonts w:hint="eastAsia"/>
          <w:color w:val="000000" w:themeColor="text1"/>
          <w:szCs w:val="21"/>
          <w14:textFill>
            <w14:solidFill>
              <w14:schemeClr w14:val="tx1"/>
            </w14:solidFill>
          </w14:textFill>
        </w:rPr>
        <w:t>其他：股权工商变更登记的税费由出让方、受让方</w:t>
      </w:r>
      <w:r>
        <w:rPr>
          <w:rFonts w:hint="eastAsia"/>
          <w:color w:val="000000" w:themeColor="text1"/>
          <w:szCs w:val="21"/>
          <w:lang w:val="en-US" w:eastAsia="zh-CN"/>
          <w14:textFill>
            <w14:solidFill>
              <w14:schemeClr w14:val="tx1"/>
            </w14:solidFill>
          </w14:textFill>
        </w:rPr>
        <w:t>按相关法律规定</w:t>
      </w:r>
      <w:r>
        <w:rPr>
          <w:rFonts w:hint="eastAsia"/>
          <w:color w:val="000000" w:themeColor="text1"/>
          <w:szCs w:val="21"/>
          <w14:textFill>
            <w14:solidFill>
              <w14:schemeClr w14:val="tx1"/>
            </w14:solidFill>
          </w14:textFill>
        </w:rPr>
        <w:t>各自承担；转让价款</w:t>
      </w:r>
      <w:r>
        <w:rPr>
          <w:rFonts w:hint="eastAsia" w:ascii="宋体" w:hAnsi="宋体"/>
          <w:color w:val="000000" w:themeColor="text1"/>
          <w:sz w:val="20"/>
          <w:szCs w:val="22"/>
          <w:lang w:val="en-US" w:eastAsia="zh-CN"/>
          <w14:textFill>
            <w14:solidFill>
              <w14:schemeClr w14:val="tx1"/>
            </w14:solidFill>
          </w14:textFill>
        </w:rPr>
        <w:t>和</w:t>
      </w:r>
      <w:r>
        <w:rPr>
          <w:rFonts w:hint="eastAsia" w:ascii="宋体" w:hAnsi="宋体"/>
          <w:color w:val="000000" w:themeColor="text1"/>
          <w:sz w:val="20"/>
          <w:szCs w:val="22"/>
          <w14:textFill>
            <w14:solidFill>
              <w14:schemeClr w14:val="tx1"/>
            </w14:solidFill>
          </w14:textFill>
        </w:rPr>
        <w:t>60%欠款</w:t>
      </w:r>
      <w:r>
        <w:rPr>
          <w:rFonts w:hint="eastAsia" w:ascii="宋体" w:hAnsi="宋体"/>
          <w:color w:val="000000" w:themeColor="text1"/>
          <w:sz w:val="20"/>
          <w:szCs w:val="22"/>
          <w:lang w:val="en-US" w:eastAsia="zh-CN"/>
          <w14:textFill>
            <w14:solidFill>
              <w14:schemeClr w14:val="tx1"/>
            </w14:solidFill>
          </w14:textFill>
        </w:rPr>
        <w:t>及利息</w:t>
      </w:r>
      <w:r>
        <w:rPr>
          <w:rFonts w:hint="eastAsia"/>
          <w:color w:val="000000" w:themeColor="text1"/>
          <w:szCs w:val="21"/>
          <w14:textFill>
            <w14:solidFill>
              <w14:schemeClr w14:val="tx1"/>
            </w14:solidFill>
          </w14:textFill>
        </w:rPr>
        <w:t>付清前不予</w:t>
      </w:r>
      <w:r>
        <w:rPr>
          <w:rFonts w:hint="eastAsia"/>
          <w:color w:val="000000" w:themeColor="text1"/>
          <w:szCs w:val="21"/>
          <w14:textFill>
            <w14:solidFill>
              <w14:schemeClr w14:val="tx1"/>
            </w14:solidFill>
          </w14:textFill>
        </w:rPr>
        <w:t>办理股权过户工</w:t>
      </w:r>
      <w:r>
        <w:rPr>
          <w:rFonts w:hint="eastAsia" w:ascii="宋体" w:hAnsi="宋体"/>
          <w:color w:val="000000" w:themeColor="text1"/>
          <w14:textFill>
            <w14:solidFill>
              <w14:schemeClr w14:val="tx1"/>
            </w14:solidFill>
          </w14:textFill>
        </w:rPr>
        <w:t>商变更登记手续。</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B</w:t>
      </w:r>
      <w:r>
        <w:rPr>
          <w:color w:val="000000" w:themeColor="text1"/>
          <w:szCs w:val="21"/>
          <w14:textFill>
            <w14:solidFill>
              <w14:schemeClr w14:val="tx1"/>
            </w14:solidFill>
          </w14:textFill>
        </w:rPr>
        <w:t>、受让方资格条件：</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   受让方应为在中华人民共和国境内合法注册具备农副产品销售经营资质的企业，企业注册资本金1亿元（含）人民币以上，资产负债率在70%以下，近三年合并报表平均净资产收益率不低于3年期银行贷款基准利率。以上财务数据中，近三年平均净资产收益率指标以2016、2017、2018年度经审计的财务报告为准，其余均以2018年度经审计的财务报告为准。</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   受让方需具备拥有5万平方米（含）以上农批市场、农贸市场等专业经营资格，以提供监管部门出具仍在有效期内的市场登记证为准。</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   受让方的主营业务原则上应不属于房地产开发企业，兼营业务中含有房地产开发的，合并报表内的地产（包括住宅、商业、办公、工业地产）销售收入占全部营业收入的比重不得超过50%（含），以提供2018年度经审计的财务报告为准。</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   受让方须认同标的企业前期为项目实施所产生的资金投入、工作成果、对外合同及本项目的融资与担保责任等，须遵守建设用地出让合同及该宗土地的设计条件和特别规定。</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   受让方为境外投资者的，应当符合外商投资产业指导目录和负面清单管理要求以及外商投资安全审查有关规定。</w:t>
      </w:r>
    </w:p>
    <w:p>
      <w:pPr>
        <w:numPr>
          <w:ilvl w:val="2"/>
          <w:numId w:val="15"/>
        </w:num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竞买人在电子竞价通过电子</w:t>
      </w:r>
      <w:r>
        <w:rPr>
          <w:rFonts w:hint="eastAsia"/>
          <w:color w:val="000000" w:themeColor="text1"/>
          <w:szCs w:val="21"/>
          <w:lang w:eastAsia="zh-CN"/>
          <w14:textFill>
            <w14:solidFill>
              <w14:schemeClr w14:val="tx1"/>
            </w14:solidFill>
          </w14:textFill>
        </w:rPr>
        <w:t>网络</w:t>
      </w:r>
      <w:r>
        <w:rPr>
          <w:rFonts w:hint="eastAsia"/>
          <w:color w:val="000000" w:themeColor="text1"/>
          <w:szCs w:val="21"/>
          <w14:textFill>
            <w14:solidFill>
              <w14:schemeClr w14:val="tx1"/>
            </w14:solidFill>
          </w14:textFill>
        </w:rPr>
        <w:t>竞价系统报价时，应由竞买人本人进行操作和实施报价行为，以竞价</w:t>
      </w:r>
      <w:r>
        <w:rPr>
          <w:rFonts w:hint="eastAsia"/>
          <w:color w:val="000000" w:themeColor="text1"/>
          <w:szCs w:val="21"/>
          <w:lang w:eastAsia="zh-CN"/>
          <w14:textFill>
            <w14:solidFill>
              <w14:schemeClr w14:val="tx1"/>
            </w14:solidFill>
          </w14:textFill>
        </w:rPr>
        <w:t>平台页面</w:t>
      </w:r>
      <w:r>
        <w:rPr>
          <w:rFonts w:hint="eastAsia"/>
          <w:color w:val="000000" w:themeColor="text1"/>
          <w:szCs w:val="21"/>
          <w14:textFill>
            <w14:solidFill>
              <w14:schemeClr w14:val="tx1"/>
            </w14:solidFill>
          </w14:textFill>
        </w:rPr>
        <w:t>显示</w:t>
      </w:r>
      <w:r>
        <w:rPr>
          <w:rFonts w:hint="eastAsia"/>
          <w:color w:val="000000" w:themeColor="text1"/>
          <w:szCs w:val="21"/>
          <w:lang w:eastAsia="zh-CN"/>
          <w14:textFill>
            <w14:solidFill>
              <w14:schemeClr w14:val="tx1"/>
            </w14:solidFill>
          </w14:textFill>
        </w:rPr>
        <w:t>记录</w:t>
      </w:r>
      <w:r>
        <w:rPr>
          <w:rFonts w:hint="eastAsia"/>
          <w:color w:val="000000" w:themeColor="text1"/>
          <w:szCs w:val="21"/>
          <w14:textFill>
            <w14:solidFill>
              <w14:schemeClr w14:val="tx1"/>
            </w14:solidFill>
          </w14:textFill>
        </w:rPr>
        <w:t>为准，无</w:t>
      </w:r>
      <w:r>
        <w:rPr>
          <w:rFonts w:hint="eastAsia"/>
          <w:color w:val="000000" w:themeColor="text1"/>
          <w:szCs w:val="21"/>
          <w14:textFill>
            <w14:solidFill>
              <w14:schemeClr w14:val="tx1"/>
            </w14:solidFill>
          </w14:textFill>
        </w:rPr>
        <w:t>论何种原因引致他人代竞买人进行操作和实施报价行为的，均视同竞买人实施报价行为，竞买人应自行承担由此产生的一切经济责任和法律后果。</w:t>
      </w:r>
    </w:p>
    <w:p>
      <w:pPr>
        <w:numPr>
          <w:ilvl w:val="2"/>
          <w:numId w:val="15"/>
        </w:num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竞买人本人不能参加电子网络竞价会，需提前办理授权委托书，委托代理人竞买，代理人必须向组织人相关工作人员出示有效的委托文件原件及本人身份证原件或其他有效身份证件，并经组织人确认同意方可代理参加竞价，</w:t>
      </w:r>
      <w:r>
        <w:rPr>
          <w:rFonts w:hint="eastAsia"/>
          <w:b/>
          <w:color w:val="000000" w:themeColor="text1"/>
          <w:szCs w:val="21"/>
          <w:u w:val="single"/>
          <w14:textFill>
            <w14:solidFill>
              <w14:schemeClr w14:val="tx1"/>
            </w14:solidFill>
          </w14:textFill>
        </w:rPr>
        <w:t>否则视为该竞买人违反竞买约定和干扰交易秩序，应承担全部法律责任，且其所交竞买保证金由组织人直接支付给转让方所有。</w:t>
      </w:r>
    </w:p>
    <w:p>
      <w:pPr>
        <w:numPr>
          <w:ilvl w:val="2"/>
          <w:numId w:val="15"/>
        </w:num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竞买人进入</w:t>
      </w:r>
      <w:r>
        <w:rPr>
          <w:rFonts w:hint="eastAsia"/>
          <w:color w:val="000000" w:themeColor="text1"/>
          <w:szCs w:val="21"/>
          <w:lang w:eastAsia="zh-CN"/>
          <w14:textFill>
            <w14:solidFill>
              <w14:schemeClr w14:val="tx1"/>
            </w14:solidFill>
          </w14:textFill>
        </w:rPr>
        <w:t>网络</w:t>
      </w:r>
      <w:r>
        <w:rPr>
          <w:rFonts w:hint="eastAsia"/>
          <w:color w:val="000000" w:themeColor="text1"/>
          <w:szCs w:val="21"/>
          <w14:textFill>
            <w14:solidFill>
              <w14:schemeClr w14:val="tx1"/>
            </w14:solidFill>
          </w14:textFill>
        </w:rPr>
        <w:t>竞价会必须遵守公共秩序和竞价秩序，不得阻挠其他竞买人报价，不得</w:t>
      </w:r>
      <w:r>
        <w:rPr>
          <w:rFonts w:hint="eastAsia"/>
          <w:color w:val="000000" w:themeColor="text1"/>
          <w:szCs w:val="21"/>
          <w:lang w:eastAsia="zh-CN"/>
          <w14:textFill>
            <w14:solidFill>
              <w14:schemeClr w14:val="tx1"/>
            </w14:solidFill>
          </w14:textFill>
        </w:rPr>
        <w:t>有</w:t>
      </w:r>
      <w:r>
        <w:rPr>
          <w:rFonts w:hint="eastAsia"/>
          <w:color w:val="000000" w:themeColor="text1"/>
          <w:szCs w:val="21"/>
          <w14:textFill>
            <w14:solidFill>
              <w14:schemeClr w14:val="tx1"/>
            </w14:solidFill>
          </w14:textFill>
        </w:rPr>
        <w:t>阻碍</w:t>
      </w:r>
      <w:r>
        <w:rPr>
          <w:rFonts w:hint="eastAsia"/>
          <w:color w:val="000000" w:themeColor="text1"/>
          <w:szCs w:val="21"/>
          <w:lang w:eastAsia="zh-CN"/>
          <w14:textFill>
            <w14:solidFill>
              <w14:schemeClr w14:val="tx1"/>
            </w14:solidFill>
          </w14:textFill>
        </w:rPr>
        <w:t>竞价会</w:t>
      </w:r>
      <w:r>
        <w:rPr>
          <w:rFonts w:hint="eastAsia" w:ascii="宋体" w:hAnsi="宋体"/>
          <w:color w:val="000000" w:themeColor="text1"/>
          <w:szCs w:val="21"/>
          <w14:textFill>
            <w14:solidFill>
              <w14:schemeClr w14:val="tx1"/>
            </w14:solidFill>
          </w14:textFill>
        </w:rPr>
        <w:t>正常</w:t>
      </w:r>
      <w:r>
        <w:rPr>
          <w:rFonts w:hint="eastAsia"/>
          <w:color w:val="000000" w:themeColor="text1"/>
          <w:szCs w:val="21"/>
          <w14:textFill>
            <w14:solidFill>
              <w14:schemeClr w14:val="tx1"/>
            </w14:solidFill>
          </w14:textFill>
        </w:rPr>
        <w:t>进行</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CN"/>
          <w14:textFill>
            <w14:solidFill>
              <w14:schemeClr w14:val="tx1"/>
            </w14:solidFill>
          </w14:textFill>
        </w:rPr>
        <w:t>行为</w:t>
      </w:r>
      <w:r>
        <w:rPr>
          <w:rFonts w:hint="eastAsia" w:ascii="宋体" w:hAnsi="宋体"/>
          <w:color w:val="000000" w:themeColor="text1"/>
          <w:szCs w:val="21"/>
          <w14:textFill>
            <w14:solidFill>
              <w14:schemeClr w14:val="tx1"/>
            </w14:solidFill>
          </w14:textFill>
        </w:rPr>
        <w:t>，更不得有恶意操纵他人竞价等违法行为，一经发现，将取消其竞买资格，</w:t>
      </w:r>
      <w:r>
        <w:rPr>
          <w:rFonts w:hint="eastAsia"/>
          <w:b/>
          <w:color w:val="000000" w:themeColor="text1"/>
          <w:szCs w:val="21"/>
          <w:u w:val="single"/>
          <w14:textFill>
            <w14:solidFill>
              <w14:schemeClr w14:val="tx1"/>
            </w14:solidFill>
          </w14:textFill>
        </w:rPr>
        <w:t>应承担全部法律责任，且其所交竞买保证金由组织人直接支付给转让方所有</w:t>
      </w:r>
      <w:r>
        <w:rPr>
          <w:rFonts w:hint="eastAsia" w:ascii="宋体" w:hAnsi="宋体"/>
          <w:b/>
          <w:color w:val="000000" w:themeColor="text1"/>
          <w:szCs w:val="21"/>
          <w:u w:val="single"/>
          <w14:textFill>
            <w14:solidFill>
              <w14:schemeClr w14:val="tx1"/>
            </w14:solidFill>
          </w14:textFill>
        </w:rPr>
        <w:t>，</w:t>
      </w:r>
      <w:r>
        <w:rPr>
          <w:rFonts w:hint="eastAsia" w:ascii="宋体" w:hAnsi="宋体"/>
          <w:color w:val="000000" w:themeColor="text1"/>
          <w:szCs w:val="21"/>
          <w14:textFill>
            <w14:solidFill>
              <w14:schemeClr w14:val="tx1"/>
            </w14:solidFill>
          </w14:textFill>
        </w:rPr>
        <w:t>必要时移交相关部门追究其法律责任。</w:t>
      </w:r>
    </w:p>
    <w:p>
      <w:pPr>
        <w:numPr>
          <w:ilvl w:val="2"/>
          <w:numId w:val="15"/>
        </w:num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竞价过程中，竞买人必须认真严肃地进行竞买。竞买人应严肃、慎重的考虑，确认后报出自己所认可的报价，不得反悔，否则</w:t>
      </w:r>
      <w:r>
        <w:rPr>
          <w:rFonts w:hint="eastAsia"/>
          <w:b/>
          <w:color w:val="000000" w:themeColor="text1"/>
          <w:szCs w:val="21"/>
          <w:u w:val="single"/>
          <w14:textFill>
            <w14:solidFill>
              <w14:schemeClr w14:val="tx1"/>
            </w14:solidFill>
          </w14:textFill>
        </w:rPr>
        <w:t>应承担全部法律责任，且其所交竞买保证金由组织人直接支付给转让方所有</w:t>
      </w:r>
      <w:r>
        <w:rPr>
          <w:rFonts w:hint="eastAsia" w:ascii="宋体" w:hAnsi="宋体"/>
          <w:color w:val="000000" w:themeColor="text1"/>
          <w:szCs w:val="21"/>
          <w14:textFill>
            <w14:solidFill>
              <w14:schemeClr w14:val="tx1"/>
            </w14:solidFill>
          </w14:textFill>
        </w:rPr>
        <w:t>。</w:t>
      </w:r>
    </w:p>
    <w:p>
      <w:pPr>
        <w:numPr>
          <w:ilvl w:val="2"/>
          <w:numId w:val="15"/>
        </w:num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竞价过程中，如因系统发生故障，由组织人视具体情况作出暂停或调整电子竞价时间的决定。</w:t>
      </w:r>
    </w:p>
    <w:p>
      <w:pPr>
        <w:numPr>
          <w:ilvl w:val="2"/>
          <w:numId w:val="15"/>
        </w:num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竞买人应自行承担其参与竞价（包括但不限于完成报名手续和递交有关文件）所涉及的一切费用，不论竞价结果如何，在任何情况下组织人均无义务承担此费用。</w:t>
      </w:r>
    </w:p>
    <w:p>
      <w:pPr>
        <w:numPr>
          <w:ilvl w:val="2"/>
          <w:numId w:val="15"/>
        </w:num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有下列情形之一的，视作竞买人违约放弃受让，</w:t>
      </w:r>
      <w:r>
        <w:rPr>
          <w:rFonts w:hint="eastAsia"/>
          <w:b/>
          <w:color w:val="000000" w:themeColor="text1"/>
          <w:szCs w:val="21"/>
          <w:u w:val="single"/>
          <w14:textFill>
            <w14:solidFill>
              <w14:schemeClr w14:val="tx1"/>
            </w14:solidFill>
          </w14:textFill>
        </w:rPr>
        <w:t>应承担全部法律责任，且其所交竞买保证金</w:t>
      </w:r>
      <w:r>
        <w:rPr>
          <w:rFonts w:hint="eastAsia"/>
          <w:b/>
          <w:color w:val="000000" w:themeColor="text1"/>
          <w:szCs w:val="21"/>
          <w:u w:val="single"/>
          <w:lang w:val="en-US" w:eastAsia="zh-CN"/>
          <w14:textFill>
            <w14:solidFill>
              <w14:schemeClr w14:val="tx1"/>
            </w14:solidFill>
          </w14:textFill>
        </w:rPr>
        <w:t>在扣除交易手续费后的余款</w:t>
      </w:r>
      <w:r>
        <w:rPr>
          <w:rFonts w:hint="eastAsia"/>
          <w:b/>
          <w:color w:val="000000" w:themeColor="text1"/>
          <w:szCs w:val="21"/>
          <w:u w:val="single"/>
          <w14:textFill>
            <w14:solidFill>
              <w14:schemeClr w14:val="tx1"/>
            </w14:solidFill>
          </w14:textFill>
        </w:rPr>
        <w:t>由组织人直接支付给转让方所有</w:t>
      </w:r>
      <w:r>
        <w:rPr>
          <w:rFonts w:hint="eastAsia" w:ascii="宋体" w:hAnsi="宋体"/>
          <w:color w:val="000000" w:themeColor="text1"/>
          <w:szCs w:val="21"/>
          <w14:textFill>
            <w14:solidFill>
              <w14:schemeClr w14:val="tx1"/>
            </w14:solidFill>
          </w14:textFill>
        </w:rPr>
        <w:t>：</w:t>
      </w:r>
    </w:p>
    <w:p>
      <w:pPr>
        <w:numPr>
          <w:ilvl w:val="0"/>
          <w:numId w:val="16"/>
        </w:numPr>
        <w:rPr>
          <w:rFonts w:ascii="宋体" w:hAnsi="宋体"/>
          <w:b/>
          <w:color w:val="000000" w:themeColor="text1"/>
          <w:szCs w:val="21"/>
          <w14:textFill>
            <w14:solidFill>
              <w14:schemeClr w14:val="tx1"/>
            </w14:solidFill>
          </w14:textFill>
        </w:rPr>
      </w:pPr>
      <w:r>
        <w:rPr>
          <w:rFonts w:hint="eastAsia"/>
          <w:b/>
          <w:color w:val="000000" w:themeColor="text1"/>
          <w:u w:val="single"/>
          <w14:textFill>
            <w14:solidFill>
              <w14:schemeClr w14:val="tx1"/>
            </w14:solidFill>
          </w14:textFill>
        </w:rPr>
        <w:t>竞价成交后，被确定为本项目受让主体的竞买人拒绝签署竞价成交确认</w:t>
      </w:r>
      <w:r>
        <w:rPr>
          <w:rFonts w:hint="eastAsia"/>
          <w:b/>
          <w:color w:val="000000" w:themeColor="text1"/>
          <w:u w:val="single"/>
          <w:lang w:eastAsia="zh-CN"/>
          <w14:textFill>
            <w14:solidFill>
              <w14:schemeClr w14:val="tx1"/>
            </w14:solidFill>
          </w14:textFill>
        </w:rPr>
        <w:t>书</w:t>
      </w:r>
      <w:r>
        <w:rPr>
          <w:rFonts w:hint="eastAsia"/>
          <w:b/>
          <w:color w:val="000000" w:themeColor="text1"/>
          <w:u w:val="single"/>
          <w14:textFill>
            <w14:solidFill>
              <w14:schemeClr w14:val="tx1"/>
            </w14:solidFill>
          </w14:textFill>
        </w:rPr>
        <w:t>的</w:t>
      </w:r>
      <w:r>
        <w:rPr>
          <w:rFonts w:hint="eastAsia"/>
          <w:b/>
          <w:color w:val="000000" w:themeColor="text1"/>
          <w:u w:val="single"/>
          <w:lang w:eastAsia="zh-CN"/>
          <w14:textFill>
            <w14:solidFill>
              <w14:schemeClr w14:val="tx1"/>
            </w14:solidFill>
          </w14:textFill>
        </w:rPr>
        <w:t>；</w:t>
      </w:r>
    </w:p>
    <w:p>
      <w:pPr>
        <w:numPr>
          <w:ilvl w:val="0"/>
          <w:numId w:val="16"/>
        </w:numPr>
        <w:rPr>
          <w:rFonts w:ascii="宋体" w:hAnsi="宋体"/>
          <w:b/>
          <w:color w:val="000000" w:themeColor="text1"/>
          <w:szCs w:val="21"/>
          <w14:textFill>
            <w14:solidFill>
              <w14:schemeClr w14:val="tx1"/>
            </w14:solidFill>
          </w14:textFill>
        </w:rPr>
      </w:pPr>
      <w:r>
        <w:rPr>
          <w:rFonts w:hint="eastAsia"/>
          <w:b/>
          <w:color w:val="000000" w:themeColor="text1"/>
          <w:u w:val="single"/>
          <w14:textFill>
            <w14:solidFill>
              <w14:schemeClr w14:val="tx1"/>
            </w14:solidFill>
          </w14:textFill>
        </w:rPr>
        <w:t>因竞买人原因逾期未签产权</w:t>
      </w:r>
      <w:r>
        <w:rPr>
          <w:b/>
          <w:color w:val="000000" w:themeColor="text1"/>
          <w:u w:val="single"/>
          <w14:textFill>
            <w14:solidFill>
              <w14:schemeClr w14:val="tx1"/>
            </w14:solidFill>
          </w14:textFill>
        </w:rPr>
        <w:t>交易合同</w:t>
      </w:r>
      <w:r>
        <w:rPr>
          <w:rFonts w:hint="eastAsia"/>
          <w:b/>
          <w:color w:val="000000" w:themeColor="text1"/>
          <w:u w:val="single"/>
          <w14:textFill>
            <w14:solidFill>
              <w14:schemeClr w14:val="tx1"/>
            </w14:solidFill>
          </w14:textFill>
        </w:rPr>
        <w:t>的</w:t>
      </w:r>
      <w:r>
        <w:rPr>
          <w:rFonts w:hint="eastAsia"/>
          <w:b/>
          <w:color w:val="000000" w:themeColor="text1"/>
          <w:u w:val="single"/>
          <w:lang w:eastAsia="zh-CN"/>
          <w14:textFill>
            <w14:solidFill>
              <w14:schemeClr w14:val="tx1"/>
            </w14:solidFill>
          </w14:textFill>
        </w:rPr>
        <w:t>；</w:t>
      </w:r>
    </w:p>
    <w:p>
      <w:pPr>
        <w:numPr>
          <w:ilvl w:val="0"/>
          <w:numId w:val="16"/>
        </w:numPr>
        <w:rPr>
          <w:rFonts w:ascii="宋体" w:hAnsi="宋体"/>
          <w:b/>
          <w:color w:val="000000" w:themeColor="text1"/>
          <w:szCs w:val="21"/>
          <w14:textFill>
            <w14:solidFill>
              <w14:schemeClr w14:val="tx1"/>
            </w14:solidFill>
          </w14:textFill>
        </w:rPr>
      </w:pPr>
      <w:r>
        <w:rPr>
          <w:rFonts w:hint="eastAsia"/>
          <w:b/>
          <w:color w:val="000000" w:themeColor="text1"/>
          <w:u w:val="single"/>
          <w:lang w:eastAsia="zh-CN"/>
          <w14:textFill>
            <w14:solidFill>
              <w14:schemeClr w14:val="tx1"/>
            </w14:solidFill>
          </w14:textFill>
        </w:rPr>
        <w:t>在签署产权转让合同后未在约定时间内付款的</w:t>
      </w:r>
      <w:r>
        <w:rPr>
          <w:rFonts w:hint="eastAsia"/>
          <w:color w:val="000000" w:themeColor="text1"/>
          <w14:textFill>
            <w14:solidFill>
              <w14:schemeClr w14:val="tx1"/>
            </w14:solidFill>
          </w14:textFill>
        </w:rPr>
        <w:t>。</w:t>
      </w:r>
    </w:p>
    <w:p>
      <w:pPr>
        <w:numPr>
          <w:ilvl w:val="2"/>
          <w:numId w:val="15"/>
        </w:numPr>
        <w:rPr>
          <w:rFonts w:ascii="宋体" w:hAnsi="宋体"/>
          <w:color w:val="000000" w:themeColor="text1"/>
          <w:szCs w:val="21"/>
          <w:highlight w:val="none"/>
          <w14:textFill>
            <w14:solidFill>
              <w14:schemeClr w14:val="tx1"/>
            </w14:solidFill>
          </w14:textFill>
        </w:rPr>
      </w:pPr>
      <w:r>
        <w:rPr>
          <w:rFonts w:ascii="Arial" w:hAnsi="Arial" w:cs="Arial"/>
          <w:color w:val="000000" w:themeColor="text1"/>
          <w:highlight w:val="none"/>
          <w14:textFill>
            <w14:solidFill>
              <w14:schemeClr w14:val="tx1"/>
            </w14:solidFill>
          </w14:textFill>
        </w:rPr>
        <w:t>竞价会正式开始后，</w:t>
      </w:r>
      <w:r>
        <w:rPr>
          <w:rFonts w:hint="eastAsia" w:ascii="Arial" w:hAnsi="Arial" w:cs="Arial"/>
          <w:color w:val="000000" w:themeColor="text1"/>
          <w:highlight w:val="none"/>
          <w:lang w:eastAsia="zh-CN"/>
          <w14:textFill>
            <w14:solidFill>
              <w14:schemeClr w14:val="tx1"/>
            </w14:solidFill>
          </w14:textFill>
        </w:rPr>
        <w:t>挂牌报名期限截止时的最高报价者未在</w:t>
      </w:r>
      <w:r>
        <w:rPr>
          <w:rFonts w:ascii="Arial" w:hAnsi="Arial" w:cs="Arial"/>
          <w:color w:val="000000" w:themeColor="text1"/>
          <w:highlight w:val="none"/>
          <w14:textFill>
            <w14:solidFill>
              <w14:schemeClr w14:val="tx1"/>
            </w14:solidFill>
          </w14:textFill>
        </w:rPr>
        <w:t>电子竞价结束前通过电子竞价系统对竞价起始价应价并导致项目不成交的，</w:t>
      </w:r>
      <w:r>
        <w:rPr>
          <w:rFonts w:hint="eastAsia" w:ascii="宋体" w:hAnsi="宋体"/>
          <w:color w:val="000000" w:themeColor="text1"/>
          <w:szCs w:val="21"/>
          <w:highlight w:val="none"/>
          <w14:textFill>
            <w14:solidFill>
              <w14:schemeClr w14:val="tx1"/>
            </w14:solidFill>
          </w14:textFill>
        </w:rPr>
        <w:t>视为</w:t>
      </w:r>
      <w:r>
        <w:rPr>
          <w:rFonts w:hint="eastAsia" w:ascii="宋体" w:hAnsi="宋体"/>
          <w:color w:val="000000" w:themeColor="text1"/>
          <w:szCs w:val="21"/>
          <w:highlight w:val="none"/>
          <w:lang w:eastAsia="zh-CN"/>
          <w14:textFill>
            <w14:solidFill>
              <w14:schemeClr w14:val="tx1"/>
            </w14:solidFill>
          </w14:textFill>
        </w:rPr>
        <w:t>该</w:t>
      </w:r>
      <w:r>
        <w:rPr>
          <w:rFonts w:hint="eastAsia" w:ascii="宋体" w:hAnsi="宋体"/>
          <w:color w:val="000000" w:themeColor="text1"/>
          <w:szCs w:val="21"/>
          <w:highlight w:val="none"/>
          <w14:textFill>
            <w14:solidFill>
              <w14:schemeClr w14:val="tx1"/>
            </w14:solidFill>
          </w14:textFill>
        </w:rPr>
        <w:t>竞买人</w:t>
      </w:r>
      <w:r>
        <w:rPr>
          <w:rFonts w:hint="eastAsia" w:ascii="宋体" w:hAnsi="宋体"/>
          <w:color w:val="000000" w:themeColor="text1"/>
          <w:szCs w:val="21"/>
          <w:highlight w:val="none"/>
          <w:lang w:val="en-US" w:eastAsia="zh-CN"/>
          <w14:textFill>
            <w14:solidFill>
              <w14:schemeClr w14:val="tx1"/>
            </w14:solidFill>
          </w14:textFill>
        </w:rPr>
        <w:t>违约</w:t>
      </w:r>
      <w:r>
        <w:rPr>
          <w:rFonts w:hint="eastAsia" w:ascii="宋体" w:hAnsi="宋体"/>
          <w:color w:val="000000" w:themeColor="text1"/>
          <w:szCs w:val="21"/>
          <w:highlight w:val="none"/>
          <w14:textFill>
            <w14:solidFill>
              <w14:schemeClr w14:val="tx1"/>
            </w14:solidFill>
          </w14:textFill>
        </w:rPr>
        <w:t>，其已递交的竞买保证金予以</w:t>
      </w:r>
      <w:r>
        <w:rPr>
          <w:rFonts w:hint="eastAsia" w:ascii="宋体" w:hAnsi="宋体"/>
          <w:color w:val="000000" w:themeColor="text1"/>
          <w:szCs w:val="21"/>
          <w:highlight w:val="none"/>
          <w:lang w:val="en-US" w:eastAsia="zh-CN"/>
          <w14:textFill>
            <w14:solidFill>
              <w14:schemeClr w14:val="tx1"/>
            </w14:solidFill>
          </w14:textFill>
        </w:rPr>
        <w:t>没收</w:t>
      </w:r>
      <w:r>
        <w:rPr>
          <w:rFonts w:hint="eastAsia" w:ascii="宋体" w:hAnsi="宋体"/>
          <w:color w:val="000000" w:themeColor="text1"/>
          <w:szCs w:val="21"/>
          <w:highlight w:val="none"/>
          <w14:textFill>
            <w14:solidFill>
              <w14:schemeClr w14:val="tx1"/>
            </w14:solidFill>
          </w14:textFill>
        </w:rPr>
        <w:t>。</w:t>
      </w:r>
    </w:p>
    <w:p>
      <w:pPr>
        <w:numPr>
          <w:ilvl w:val="2"/>
          <w:numId w:val="15"/>
        </w:numPr>
        <w:rPr>
          <w:rFonts w:ascii="Arial" w:hAnsi="Arial" w:cs="Arial"/>
          <w:color w:val="000000" w:themeColor="text1"/>
          <w:highlight w:val="none"/>
          <w14:textFill>
            <w14:solidFill>
              <w14:schemeClr w14:val="tx1"/>
            </w14:solidFill>
          </w14:textFill>
        </w:rPr>
      </w:pPr>
      <w:r>
        <w:rPr>
          <w:rFonts w:ascii="Arial" w:hAnsi="Arial" w:cs="Arial"/>
          <w:color w:val="000000" w:themeColor="text1"/>
          <w:highlight w:val="none"/>
          <w14:textFill>
            <w14:solidFill>
              <w14:schemeClr w14:val="tx1"/>
            </w14:solidFill>
          </w14:textFill>
        </w:rPr>
        <w:t>在挂牌</w:t>
      </w:r>
      <w:r>
        <w:rPr>
          <w:rFonts w:hint="eastAsia" w:ascii="Arial" w:hAnsi="Arial" w:cs="Arial"/>
          <w:color w:val="000000" w:themeColor="text1"/>
          <w:highlight w:val="none"/>
          <w:lang w:eastAsia="zh-CN"/>
          <w14:textFill>
            <w14:solidFill>
              <w14:schemeClr w14:val="tx1"/>
            </w14:solidFill>
          </w14:textFill>
        </w:rPr>
        <w:t>报名</w:t>
      </w:r>
      <w:r>
        <w:rPr>
          <w:rFonts w:ascii="Arial" w:hAnsi="Arial" w:cs="Arial"/>
          <w:color w:val="000000" w:themeColor="text1"/>
          <w:highlight w:val="none"/>
          <w14:textFill>
            <w14:solidFill>
              <w14:schemeClr w14:val="tx1"/>
            </w14:solidFill>
          </w14:textFill>
        </w:rPr>
        <w:t>期限截止时仍有两个（包括当时最高报价者）或两个以上的竞</w:t>
      </w:r>
      <w:r>
        <w:rPr>
          <w:rFonts w:hint="eastAsia" w:ascii="Arial" w:hAnsi="Arial" w:cs="Arial"/>
          <w:color w:val="000000" w:themeColor="text1"/>
          <w:highlight w:val="none"/>
          <w:lang w:eastAsia="zh-CN"/>
          <w14:textFill>
            <w14:solidFill>
              <w14:schemeClr w14:val="tx1"/>
            </w14:solidFill>
          </w14:textFill>
        </w:rPr>
        <w:t>买</w:t>
      </w:r>
      <w:r>
        <w:rPr>
          <w:rFonts w:ascii="Arial" w:hAnsi="Arial" w:cs="Arial"/>
          <w:color w:val="000000" w:themeColor="text1"/>
          <w:highlight w:val="none"/>
          <w14:textFill>
            <w14:solidFill>
              <w14:schemeClr w14:val="tx1"/>
            </w14:solidFill>
          </w14:textFill>
        </w:rPr>
        <w:t>人要求继续报价的，所有竞买人</w:t>
      </w:r>
      <w:r>
        <w:rPr>
          <w:rFonts w:hint="eastAsia" w:ascii="Arial" w:hAnsi="Arial" w:cs="Arial"/>
          <w:color w:val="000000" w:themeColor="text1"/>
          <w:highlight w:val="none"/>
          <w:lang w:eastAsia="zh-CN"/>
          <w14:textFill>
            <w14:solidFill>
              <w14:schemeClr w14:val="tx1"/>
            </w14:solidFill>
          </w14:textFill>
        </w:rPr>
        <w:t>在</w:t>
      </w:r>
      <w:r>
        <w:rPr>
          <w:rFonts w:ascii="Arial" w:hAnsi="Arial" w:cs="Arial"/>
          <w:color w:val="000000" w:themeColor="text1"/>
          <w:highlight w:val="none"/>
          <w14:textFill>
            <w14:solidFill>
              <w14:schemeClr w14:val="tx1"/>
            </w14:solidFill>
          </w14:textFill>
        </w:rPr>
        <w:t>竞价会正式开始</w:t>
      </w:r>
      <w:r>
        <w:rPr>
          <w:rFonts w:hint="eastAsia" w:ascii="Arial" w:hAnsi="Arial" w:cs="Arial"/>
          <w:color w:val="000000" w:themeColor="text1"/>
          <w:highlight w:val="none"/>
          <w:lang w:eastAsia="zh-CN"/>
          <w14:textFill>
            <w14:solidFill>
              <w14:schemeClr w14:val="tx1"/>
            </w14:solidFill>
          </w14:textFill>
        </w:rPr>
        <w:t>前登录电子竞价平台，</w:t>
      </w:r>
      <w:r>
        <w:rPr>
          <w:rFonts w:ascii="Arial" w:hAnsi="Arial" w:cs="Arial"/>
          <w:color w:val="000000" w:themeColor="text1"/>
          <w:highlight w:val="none"/>
          <w14:textFill>
            <w14:solidFill>
              <w14:schemeClr w14:val="tx1"/>
            </w14:solidFill>
          </w14:textFill>
        </w:rPr>
        <w:t>在</w:t>
      </w:r>
      <w:r>
        <w:rPr>
          <w:rFonts w:hint="eastAsia" w:ascii="Arial" w:hAnsi="Arial" w:cs="Arial"/>
          <w:color w:val="000000" w:themeColor="text1"/>
          <w:highlight w:val="none"/>
          <w:lang w:eastAsia="zh-CN"/>
          <w14:textFill>
            <w14:solidFill>
              <w14:schemeClr w14:val="tx1"/>
            </w14:solidFill>
          </w14:textFill>
        </w:rPr>
        <w:t>规定的电子竞价时间段内</w:t>
      </w:r>
      <w:r>
        <w:rPr>
          <w:rFonts w:ascii="Arial" w:hAnsi="Arial" w:cs="Arial"/>
          <w:color w:val="000000" w:themeColor="text1"/>
          <w:highlight w:val="none"/>
          <w14:textFill>
            <w14:solidFill>
              <w14:schemeClr w14:val="tx1"/>
            </w14:solidFill>
          </w14:textFill>
        </w:rPr>
        <w:t>，采用互联网一次、多次报价、复式竞价方式进行。竞价时间结束后，最高有效报价的竞</w:t>
      </w:r>
      <w:r>
        <w:rPr>
          <w:rFonts w:hint="eastAsia" w:ascii="Arial" w:hAnsi="Arial" w:cs="Arial"/>
          <w:color w:val="000000" w:themeColor="text1"/>
          <w:highlight w:val="none"/>
          <w:lang w:eastAsia="zh-CN"/>
          <w14:textFill>
            <w14:solidFill>
              <w14:schemeClr w14:val="tx1"/>
            </w14:solidFill>
          </w14:textFill>
        </w:rPr>
        <w:t>买</w:t>
      </w:r>
      <w:r>
        <w:rPr>
          <w:rFonts w:ascii="Arial" w:hAnsi="Arial" w:cs="Arial"/>
          <w:color w:val="000000" w:themeColor="text1"/>
          <w:highlight w:val="none"/>
          <w14:textFill>
            <w14:solidFill>
              <w14:schemeClr w14:val="tx1"/>
            </w14:solidFill>
          </w14:textFill>
        </w:rPr>
        <w:t>人为</w:t>
      </w:r>
      <w:r>
        <w:rPr>
          <w:rFonts w:hint="eastAsia" w:ascii="Arial" w:hAnsi="Arial" w:cs="Arial"/>
          <w:color w:val="000000" w:themeColor="text1"/>
          <w:highlight w:val="none"/>
          <w:lang w:eastAsia="zh-CN"/>
          <w14:textFill>
            <w14:solidFill>
              <w14:schemeClr w14:val="tx1"/>
            </w14:solidFill>
          </w14:textFill>
        </w:rPr>
        <w:t>成交</w:t>
      </w:r>
      <w:r>
        <w:rPr>
          <w:rFonts w:ascii="Arial" w:hAnsi="Arial" w:cs="Arial"/>
          <w:color w:val="000000" w:themeColor="text1"/>
          <w:highlight w:val="none"/>
          <w14:textFill>
            <w14:solidFill>
              <w14:schemeClr w14:val="tx1"/>
            </w14:solidFill>
          </w14:textFill>
        </w:rPr>
        <w:t>人。最终报价以电子竞价交易系统记录的数据为准。</w:t>
      </w:r>
    </w:p>
    <w:p>
      <w:pPr>
        <w:numPr>
          <w:ilvl w:val="2"/>
          <w:numId w:val="15"/>
        </w:numPr>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竞价成交后，转让方应按产权交易合同规定时间提交标的企业工商变更、办证及过户所需相关资料，标的企业所涉及的工商变更、办证及过户等相关事宜过程中所产生的税、费等均由转、受让双方按国家规定各自承担并自行办理有关事项。标的所有权自完成工商变更过户后由转让方转移至受让方。</w:t>
      </w:r>
    </w:p>
    <w:p>
      <w:pPr>
        <w:numPr>
          <w:ilvl w:val="2"/>
          <w:numId w:val="15"/>
        </w:numPr>
        <w:rPr>
          <w:rFonts w:ascii="宋体" w:hAnsi="宋体"/>
          <w:color w:val="000000" w:themeColor="text1"/>
          <w:szCs w:val="21"/>
          <w:u w:val="single"/>
          <w14:textFill>
            <w14:solidFill>
              <w14:schemeClr w14:val="tx1"/>
            </w14:solidFill>
          </w14:textFill>
        </w:rPr>
      </w:pPr>
      <w:r>
        <w:rPr>
          <w:rFonts w:hint="eastAsia" w:ascii="宋体" w:hAnsi="宋体" w:cs="宋体"/>
          <w:b/>
          <w:color w:val="000000" w:themeColor="text1"/>
          <w:kern w:val="0"/>
          <w:szCs w:val="21"/>
          <w:u w:val="single"/>
          <w14:textFill>
            <w14:solidFill>
              <w14:schemeClr w14:val="tx1"/>
            </w14:solidFill>
          </w14:textFill>
        </w:rPr>
        <w:t>受让方应确保自身主体资格能符合审批机关、工商管理等部门对受让方主体资格的要求，否则受让方</w:t>
      </w:r>
      <w:r>
        <w:rPr>
          <w:rFonts w:hint="eastAsia"/>
          <w:b/>
          <w:color w:val="000000" w:themeColor="text1"/>
          <w:szCs w:val="21"/>
          <w:u w:val="single"/>
          <w14:textFill>
            <w14:solidFill>
              <w14:schemeClr w14:val="tx1"/>
            </w14:solidFill>
          </w14:textFill>
        </w:rPr>
        <w:t>应承担全部法律责任，且其所交竞买保证金由组织人直接支付给转让方所有</w:t>
      </w:r>
      <w:r>
        <w:rPr>
          <w:rFonts w:hint="eastAsia" w:ascii="宋体" w:hAnsi="宋体" w:cs="宋体"/>
          <w:b/>
          <w:color w:val="000000" w:themeColor="text1"/>
          <w:kern w:val="0"/>
          <w:szCs w:val="21"/>
          <w14:textFill>
            <w14:solidFill>
              <w14:schemeClr w14:val="tx1"/>
            </w14:solidFill>
          </w14:textFill>
        </w:rPr>
        <w:t>。</w:t>
      </w:r>
    </w:p>
    <w:p>
      <w:pPr>
        <w:numPr>
          <w:ilvl w:val="2"/>
          <w:numId w:val="15"/>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转让方有权在竞价开始前撤回标的。若因转让方撤回标的或不可抗力或客观必要的原因，组织人有权取消或推迟本次竞价会，由此对竞买人造成的损失由竞买人自负，竞买人不得向转让方、组织人追索竞买保证金利息及其他任何费用与责任。</w:t>
      </w:r>
    </w:p>
    <w:p>
      <w:pPr>
        <w:numPr>
          <w:ilvl w:val="2"/>
          <w:numId w:val="15"/>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人在本竞价会资料中或其他材料中所作出的关于标的的说明仅作为一般性介绍供竞买人参考，不表明组织人作出担保，本次竞价会所提供的文件资料若因印刷、拷贝或摄影造成资料与实物或标的实际情况有误差的，以实物或标的情况现状及有效证件为准。如遇特殊情况，组织人有权对本竞价会资料进行修正，如有修正，将在竞价会开始前以书面形式或在电子网络竞价会上口头公开告知全体参会竞买人。</w:t>
      </w:r>
    </w:p>
    <w:p>
      <w:pPr>
        <w:numPr>
          <w:ilvl w:val="2"/>
          <w:numId w:val="15"/>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本竞价会资料的解释权归转让方和组织人，并以组织人的解释为终局意见。</w:t>
      </w:r>
    </w:p>
    <w:p>
      <w:pPr>
        <w:ind w:firstLine="5460" w:firstLineChars="26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衢州市产权交易中心有限公司 </w:t>
      </w:r>
    </w:p>
    <w:p>
      <w:pPr>
        <w:ind w:firstLine="6195" w:firstLineChars="29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2019年</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24</w:t>
      </w:r>
      <w:r>
        <w:rPr>
          <w:rFonts w:hint="eastAsia" w:ascii="宋体" w:hAnsi="宋体"/>
          <w:color w:val="000000" w:themeColor="text1"/>
          <w:szCs w:val="21"/>
          <w14:textFill>
            <w14:solidFill>
              <w14:schemeClr w14:val="tx1"/>
            </w14:solidFill>
          </w14:textFill>
        </w:rPr>
        <w:t>日</w:t>
      </w:r>
    </w:p>
    <w:p>
      <w:pPr>
        <w:spacing w:line="360" w:lineRule="auto"/>
        <w:rPr>
          <w:rFonts w:ascii="宋体" w:hAnsi="宋体"/>
          <w:color w:val="000000" w:themeColor="text1"/>
          <w:szCs w:val="21"/>
          <w:u w:val="single"/>
          <w14:textFill>
            <w14:solidFill>
              <w14:schemeClr w14:val="tx1"/>
            </w14:solidFill>
          </w14:textFill>
        </w:rPr>
      </w:pPr>
    </w:p>
    <w:p>
      <w:pPr>
        <w:spacing w:line="360" w:lineRule="auto"/>
        <w:rPr>
          <w:rFonts w:ascii="宋体" w:hAnsi="宋体"/>
          <w:color w:val="000000" w:themeColor="text1"/>
          <w:szCs w:val="21"/>
          <w:u w:val="single"/>
          <w14:textFill>
            <w14:solidFill>
              <w14:schemeClr w14:val="tx1"/>
            </w14:solidFill>
          </w14:textFill>
        </w:rPr>
      </w:pPr>
    </w:p>
    <w:p>
      <w:pPr>
        <w:spacing w:line="360" w:lineRule="auto"/>
        <w:rPr>
          <w:rFonts w:ascii="宋体" w:hAnsi="宋体"/>
          <w:color w:val="000000" w:themeColor="text1"/>
          <w:szCs w:val="21"/>
          <w:u w:val="single"/>
          <w14:textFill>
            <w14:solidFill>
              <w14:schemeClr w14:val="tx1"/>
            </w14:solidFill>
          </w14:textFill>
        </w:rPr>
      </w:pPr>
    </w:p>
    <w:p>
      <w:pPr>
        <w:spacing w:line="360" w:lineRule="auto"/>
        <w:rPr>
          <w:rFonts w:ascii="黑体" w:hAnsi="宋体" w:eastAsia="黑体"/>
          <w:color w:val="000000" w:themeColor="text1"/>
          <w:szCs w:val="21"/>
          <w:u w:val="single"/>
          <w14:textFill>
            <w14:solidFill>
              <w14:schemeClr w14:val="tx1"/>
            </w14:solidFill>
          </w14:textFill>
        </w:rPr>
      </w:pPr>
      <w:r>
        <w:rPr>
          <w:rFonts w:hint="eastAsia" w:ascii="黑体" w:hAnsi="宋体" w:eastAsia="黑体"/>
          <w:color w:val="000000" w:themeColor="text1"/>
          <w:szCs w:val="21"/>
          <w:u w:val="single"/>
          <w14:textFill>
            <w14:solidFill>
              <w14:schemeClr w14:val="tx1"/>
            </w14:solidFill>
          </w14:textFill>
        </w:rPr>
        <w:t>上述竞价须知及特别约定本竞买人已阅读，并同意遵照执行。</w:t>
      </w:r>
    </w:p>
    <w:p>
      <w:pPr>
        <w:spacing w:line="360" w:lineRule="auto"/>
        <w:ind w:firstLine="2310" w:firstLineChars="1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竞买人（签字盖章）：  年  月  日</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both"/>
        <w:rPr>
          <w:color w:val="000000" w:themeColor="text1"/>
          <w14:textFill>
            <w14:solidFill>
              <w14:schemeClr w14:val="tx1"/>
            </w14:solidFill>
          </w14:textFill>
        </w:rPr>
      </w:pPr>
    </w:p>
    <w:tbl>
      <w:tblPr>
        <w:tblStyle w:val="22"/>
        <w:tblW w:w="2340" w:type="dxa"/>
        <w:tblInd w:w="6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340" w:type="dxa"/>
          </w:tcPr>
          <w:p>
            <w:pPr>
              <w:rPr>
                <w:b/>
                <w:color w:val="000000" w:themeColor="text1"/>
                <w14:textFill>
                  <w14:solidFill>
                    <w14:schemeClr w14:val="tx1"/>
                  </w14:solidFill>
                </w14:textFill>
              </w:rPr>
            </w:pPr>
            <w:r>
              <w:rPr>
                <w:rFonts w:hint="eastAsia"/>
                <w:b/>
                <w:bCs/>
                <w:color w:val="000000" w:themeColor="text1"/>
                <w:sz w:val="24"/>
                <w14:textFill>
                  <w14:solidFill>
                    <w14:schemeClr w14:val="tx1"/>
                  </w14:solidFill>
                </w14:textFill>
              </w:rPr>
              <w:t>合同编号:</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b/>
          <w:bCs/>
          <w:color w:val="000000" w:themeColor="text1"/>
          <w:spacing w:val="60"/>
          <w:sz w:val="44"/>
          <w:szCs w:val="44"/>
          <w14:textFill>
            <w14:solidFill>
              <w14:schemeClr w14:val="tx1"/>
            </w14:solidFill>
          </w14:textFill>
        </w:rPr>
      </w:pPr>
      <w:r>
        <w:rPr>
          <w:rFonts w:hint="eastAsia" w:ascii="宋体" w:hAnsi="宋体"/>
          <w:b/>
          <w:bCs/>
          <w:color w:val="000000" w:themeColor="text1"/>
          <w:spacing w:val="60"/>
          <w:sz w:val="44"/>
          <w:szCs w:val="44"/>
          <w14:textFill>
            <w14:solidFill>
              <w14:schemeClr w14:val="tx1"/>
            </w14:solidFill>
          </w14:textFill>
        </w:rPr>
        <w:t>国有产权交易合同（样本）</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rFonts w:ascii="宋体" w:hAnsi="宋体"/>
          <w:b/>
          <w:color w:val="000000" w:themeColor="text1"/>
          <w:sz w:val="30"/>
          <w:szCs w:val="30"/>
          <w:u w:val="single"/>
          <w14:textFill>
            <w14:solidFill>
              <w14:schemeClr w14:val="tx1"/>
            </w14:solidFill>
          </w14:textFill>
        </w:rPr>
      </w:pPr>
      <w:r>
        <w:rPr>
          <w:rFonts w:hint="eastAsia" w:ascii="宋体" w:hAnsi="宋体"/>
          <w:b/>
          <w:color w:val="000000" w:themeColor="text1"/>
          <w:sz w:val="28"/>
          <w14:textFill>
            <w14:solidFill>
              <w14:schemeClr w14:val="tx1"/>
            </w14:solidFill>
          </w14:textFill>
        </w:rPr>
        <w:t>转让方：</w:t>
      </w:r>
      <w:r>
        <w:rPr>
          <w:rFonts w:hint="eastAsia" w:ascii="宋体" w:hAnsi="宋体"/>
          <w:b/>
          <w:color w:val="000000" w:themeColor="text1"/>
          <w:sz w:val="28"/>
          <w:szCs w:val="28"/>
          <w:u w:val="single"/>
          <w14:textFill>
            <w14:solidFill>
              <w14:schemeClr w14:val="tx1"/>
            </w14:solidFill>
          </w14:textFill>
        </w:rPr>
        <w:t>龙游县商贸物流发展有限公司</w:t>
      </w:r>
    </w:p>
    <w:p>
      <w:pPr>
        <w:ind w:firstLine="840" w:firstLineChars="300"/>
        <w:rPr>
          <w:rFonts w:ascii="宋体" w:hAnsi="宋体"/>
          <w:b/>
          <w:color w:val="000000" w:themeColor="text1"/>
          <w:sz w:val="28"/>
          <w:u w:val="single"/>
          <w14:textFill>
            <w14:solidFill>
              <w14:schemeClr w14:val="tx1"/>
            </w14:solidFill>
          </w14:textFill>
        </w:rPr>
      </w:pPr>
    </w:p>
    <w:p>
      <w:pPr>
        <w:ind w:firstLine="840" w:firstLineChars="300"/>
        <w:rPr>
          <w:rFonts w:ascii="宋体" w:hAnsi="宋体"/>
          <w:b/>
          <w:color w:val="000000" w:themeColor="text1"/>
          <w:sz w:val="28"/>
          <w14:textFill>
            <w14:solidFill>
              <w14:schemeClr w14:val="tx1"/>
            </w14:solidFill>
          </w14:textFill>
        </w:rPr>
      </w:pPr>
    </w:p>
    <w:p>
      <w:pPr>
        <w:ind w:firstLine="1680" w:firstLineChars="600"/>
        <w:jc w:val="left"/>
        <w:rPr>
          <w:rFonts w:ascii="黑体" w:eastAsia="黑体"/>
          <w:b/>
          <w:color w:val="000000" w:themeColor="text1"/>
          <w:sz w:val="30"/>
          <w:szCs w:val="30"/>
          <w:u w:val="single"/>
          <w14:textFill>
            <w14:solidFill>
              <w14:schemeClr w14:val="tx1"/>
            </w14:solidFill>
          </w14:textFill>
        </w:rPr>
      </w:pPr>
      <w:r>
        <w:rPr>
          <w:rFonts w:hint="eastAsia" w:ascii="宋体" w:hAnsi="宋体"/>
          <w:b/>
          <w:color w:val="000000" w:themeColor="text1"/>
          <w:sz w:val="28"/>
          <w14:textFill>
            <w14:solidFill>
              <w14:schemeClr w14:val="tx1"/>
            </w14:solidFill>
          </w14:textFill>
        </w:rPr>
        <w:t>受让方：</w:t>
      </w:r>
      <w:r>
        <w:rPr>
          <w:rFonts w:hint="eastAsia" w:ascii="黑体" w:eastAsia="黑体"/>
          <w:b/>
          <w:color w:val="000000" w:themeColor="text1"/>
          <w:sz w:val="30"/>
          <w:szCs w:val="30"/>
          <w:u w:val="single"/>
          <w:lang w:val="en-US" w:eastAsia="zh-CN"/>
          <w14:textFill>
            <w14:solidFill>
              <w14:schemeClr w14:val="tx1"/>
            </w14:solidFill>
          </w14:textFill>
        </w:rPr>
        <w:t xml:space="preserve">                         </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ind w:firstLine="2240" w:firstLineChars="800"/>
        <w:rPr>
          <w:rFonts w:ascii="宋体" w:hAnsi="宋体"/>
          <w:b/>
          <w:bCs/>
          <w:color w:val="000000" w:themeColor="text1"/>
          <w:sz w:val="28"/>
          <w14:textFill>
            <w14:solidFill>
              <w14:schemeClr w14:val="tx1"/>
            </w14:solidFill>
          </w14:textFill>
        </w:rPr>
      </w:pPr>
      <w:r>
        <w:rPr>
          <w:rFonts w:hint="eastAsia" w:ascii="宋体" w:hAnsi="宋体"/>
          <w:b/>
          <w:bCs/>
          <w:color w:val="000000" w:themeColor="text1"/>
          <w:sz w:val="28"/>
          <w14:textFill>
            <w14:solidFill>
              <w14:schemeClr w14:val="tx1"/>
            </w14:solidFill>
          </w14:textFill>
        </w:rPr>
        <w:t>衢州市产权交易中心有限公司制</w:t>
      </w:r>
    </w:p>
    <w:p>
      <w:pPr>
        <w:jc w:val="center"/>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28"/>
          <w14:textFill>
            <w14:solidFill>
              <w14:schemeClr w14:val="tx1"/>
            </w14:solidFill>
          </w14:textFill>
        </w:rPr>
        <w:t>2019年9月</w:t>
      </w:r>
      <w:r>
        <w:rPr>
          <w:rFonts w:hint="eastAsia" w:ascii="宋体" w:hAnsi="宋体"/>
          <w:b/>
          <w:bCs/>
          <w:color w:val="000000" w:themeColor="text1"/>
          <w:sz w:val="28"/>
          <w:lang w:val="en-US" w:eastAsia="zh-CN"/>
          <w14:textFill>
            <w14:solidFill>
              <w14:schemeClr w14:val="tx1"/>
            </w14:solidFill>
          </w14:textFill>
        </w:rPr>
        <w:t>23</w:t>
      </w:r>
      <w:r>
        <w:rPr>
          <w:rFonts w:hint="eastAsia" w:ascii="宋体" w:hAnsi="宋体"/>
          <w:b/>
          <w:bCs/>
          <w:color w:val="000000" w:themeColor="text1"/>
          <w:sz w:val="28"/>
          <w14:textFill>
            <w14:solidFill>
              <w14:schemeClr w14:val="tx1"/>
            </w14:solidFill>
          </w14:textFill>
        </w:rPr>
        <w:t>日</w:t>
      </w:r>
      <w:r>
        <w:rPr>
          <w:rFonts w:eastAsia="方正姚体"/>
          <w:b/>
          <w:bCs/>
          <w:color w:val="000000" w:themeColor="text1"/>
          <w:sz w:val="32"/>
          <w14:textFill>
            <w14:solidFill>
              <w14:schemeClr w14:val="tx1"/>
            </w14:solidFill>
          </w14:textFill>
        </w:rPr>
        <w:br w:type="page"/>
      </w:r>
      <w:r>
        <w:rPr>
          <w:rFonts w:hint="eastAsia" w:ascii="宋体" w:hAnsi="宋体"/>
          <w:b/>
          <w:bCs/>
          <w:color w:val="000000" w:themeColor="text1"/>
          <w:sz w:val="32"/>
          <w14:textFill>
            <w14:solidFill>
              <w14:schemeClr w14:val="tx1"/>
            </w14:solidFill>
          </w14:textFill>
        </w:rPr>
        <w:t>合同使用须知</w:t>
      </w:r>
    </w:p>
    <w:p>
      <w:pPr>
        <w:jc w:val="center"/>
        <w:rPr>
          <w:rFonts w:ascii="宋体" w:hAnsi="宋体"/>
          <w:color w:val="000000" w:themeColor="text1"/>
          <w14:textFill>
            <w14:solidFill>
              <w14:schemeClr w14:val="tx1"/>
            </w14:solidFill>
          </w14:textFill>
        </w:rPr>
      </w:pPr>
    </w:p>
    <w:p>
      <w:pPr>
        <w:numPr>
          <w:ilvl w:val="0"/>
          <w:numId w:val="17"/>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本合同文本是根据《中华人民共和国合同法》、《企业国有资产交易监督管理办法》和《企业国有产权交易操作规则》制定的示范文本。合同条款均为示范性条款，仅供产权交易各方当事人选择采用。当事人可按照实际情况在本合同文本基础上修改、调整或补充。</w:t>
      </w:r>
    </w:p>
    <w:p>
      <w:pPr>
        <w:numPr>
          <w:ilvl w:val="0"/>
          <w:numId w:val="17"/>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为更好地维护合同各方当事人的权益，签订时应当慎重，力求具体、严密。对于不涉及本合同条款所述情形的事项，可用“本合同不适用此条款”表示，或直接删除有关条款。</w:t>
      </w:r>
    </w:p>
    <w:p>
      <w:pPr>
        <w:numPr>
          <w:ilvl w:val="0"/>
          <w:numId w:val="17"/>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转让方：能够依法出让产权的法人或者其他组织。  </w:t>
      </w:r>
    </w:p>
    <w:p>
      <w:pPr>
        <w:numPr>
          <w:ilvl w:val="0"/>
          <w:numId w:val="17"/>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受让方：指有权以有偿方式受让产权的法人、自然人或者其他组织。如涉及的是自然人，请在当事人概况中填写姓名及身份证号码。</w:t>
      </w:r>
    </w:p>
    <w:p>
      <w:pPr>
        <w:numPr>
          <w:ilvl w:val="0"/>
          <w:numId w:val="17"/>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转让标的：本合同所称产权交易指资产所有权及/或股权的有偿转让行为，其转让标的包括非公司制企业的全部或者部分投资权益，有限责任公司、非上市股份有限公司、股份合作制企业的全部或部分股权。</w:t>
      </w:r>
    </w:p>
    <w:p>
      <w:pPr>
        <w:numPr>
          <w:ilvl w:val="0"/>
          <w:numId w:val="17"/>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标的企业：是指转让方因其出资所享有的产权或股权依存的载体，即转让方自行或与他人合资设立的非公司制企业、有限责任公司、非上市股份公司、股份合作制企业等。</w:t>
      </w:r>
    </w:p>
    <w:p>
      <w:pPr>
        <w:numPr>
          <w:ilvl w:val="0"/>
          <w:numId w:val="17"/>
        </w:numPr>
        <w:spacing w:line="336" w:lineRule="auto"/>
        <w:rPr>
          <w:color w:val="000000" w:themeColor="text1"/>
          <w14:textFill>
            <w14:solidFill>
              <w14:schemeClr w14:val="tx1"/>
            </w14:solidFill>
          </w14:textFill>
        </w:rPr>
      </w:pPr>
      <w:r>
        <w:rPr>
          <w:rFonts w:hint="eastAsia"/>
          <w:b/>
          <w:color w:val="000000" w:themeColor="text1"/>
          <w14:textFill>
            <w14:solidFill>
              <w14:schemeClr w14:val="tx1"/>
            </w14:solidFill>
          </w14:textFill>
        </w:rPr>
        <w:t>衢州市产权交易中心有限公司郑重声明</w:t>
      </w:r>
      <w:r>
        <w:rPr>
          <w:rFonts w:hint="eastAsia"/>
          <w:color w:val="000000" w:themeColor="text1"/>
          <w14:textFill>
            <w14:solidFill>
              <w14:schemeClr w14:val="tx1"/>
            </w14:solidFill>
          </w14:textFill>
        </w:rPr>
        <w:t>：本合同参考文本仅供在本交易中心进行产权交易的双方当事人根据其实际情况选择使用。本交易中心不因制作并提供本合同参考文本而承担任何法律责任，包括但不限于保证本合同参考文本条款内容完备、保证交易双方签约目的的真实、保证交易双方的签约主体资格适格、保证交易双方为签订本合同而做出的声明及承诺以及提供的文件资料真实准确等一切责任。</w:t>
      </w:r>
    </w:p>
    <w:p>
      <w:pPr>
        <w:spacing w:line="360" w:lineRule="auto"/>
        <w:jc w:val="center"/>
        <w:rPr>
          <w:rFonts w:ascii="黑体" w:hAnsi="黑体" w:eastAsia="黑体"/>
          <w:b/>
          <w:bCs/>
          <w:color w:val="000000" w:themeColor="text1"/>
          <w:sz w:val="32"/>
          <w14:textFill>
            <w14:solidFill>
              <w14:schemeClr w14:val="tx1"/>
            </w14:solidFill>
          </w14:textFill>
        </w:rPr>
      </w:pPr>
      <w:r>
        <w:rPr>
          <w:rFonts w:eastAsia="方正姚体"/>
          <w:b/>
          <w:bCs/>
          <w:color w:val="000000" w:themeColor="text1"/>
          <w:sz w:val="32"/>
          <w14:textFill>
            <w14:solidFill>
              <w14:schemeClr w14:val="tx1"/>
            </w14:solidFill>
          </w14:textFill>
        </w:rPr>
        <w:br w:type="page"/>
      </w:r>
      <w:r>
        <w:rPr>
          <w:rFonts w:hint="eastAsia" w:ascii="黑体" w:hAnsi="黑体" w:eastAsia="黑体"/>
          <w:b/>
          <w:bCs/>
          <w:color w:val="000000" w:themeColor="text1"/>
          <w:sz w:val="32"/>
          <w14:textFill>
            <w14:solidFill>
              <w14:schemeClr w14:val="tx1"/>
            </w14:solidFill>
          </w14:textFill>
        </w:rPr>
        <w:t>本合同当事人</w:t>
      </w:r>
    </w:p>
    <w:p>
      <w:pPr>
        <w:snapToGrid w:val="0"/>
        <w:spacing w:line="360" w:lineRule="auto"/>
        <w:rPr>
          <w:rFonts w:eastAsia="方正姚体"/>
          <w:bCs/>
          <w:color w:val="000000" w:themeColor="text1"/>
          <w:sz w:val="32"/>
          <w14:textFill>
            <w14:solidFill>
              <w14:schemeClr w14:val="tx1"/>
            </w14:solidFill>
          </w14:textFill>
        </w:rPr>
      </w:pPr>
    </w:p>
    <w:p>
      <w:pPr>
        <w:snapToGrid w:val="0"/>
        <w:spacing w:line="360" w:lineRule="auto"/>
        <w:jc w:val="center"/>
        <w:rPr>
          <w:rFonts w:eastAsia="方正姚体"/>
          <w:b/>
          <w:bCs/>
          <w:color w:val="000000" w:themeColor="text1"/>
          <w:sz w:val="32"/>
          <w14:textFill>
            <w14:solidFill>
              <w14:schemeClr w14:val="tx1"/>
            </w14:solidFill>
          </w14:textFill>
        </w:rPr>
      </w:pPr>
    </w:p>
    <w:p>
      <w:pPr>
        <w:snapToGrid w:val="0"/>
        <w:spacing w:line="360" w:lineRule="auto"/>
        <w:rPr>
          <w:b/>
          <w:color w:val="000000" w:themeColor="text1"/>
          <w:sz w:val="24"/>
          <w14:textFill>
            <w14:solidFill>
              <w14:schemeClr w14:val="tx1"/>
            </w14:solidFill>
          </w14:textFill>
        </w:rPr>
      </w:pPr>
      <w:r>
        <w:rPr>
          <w:rFonts w:hint="eastAsia"/>
          <w:color w:val="000000" w:themeColor="text1"/>
          <w14:textFill>
            <w14:solidFill>
              <w14:schemeClr w14:val="tx1"/>
            </w14:solidFill>
          </w14:textFill>
        </w:rPr>
        <w:t>转让方（以下简称甲方）：龙游县商贸物流发展有限公司</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注册地址/住所：浙江省龙游县东华街道十里铺</w:t>
      </w:r>
    </w:p>
    <w:p>
      <w:pPr>
        <w:snapToGrid w:val="0"/>
        <w:spacing w:line="360" w:lineRule="auto"/>
        <w:rPr>
          <w:rFonts w:ascii="仿宋_GB2312" w:eastAsia="仿宋_GB2312"/>
          <w:color w:val="000000" w:themeColor="text1"/>
          <w:sz w:val="24"/>
          <w14:textFill>
            <w14:solidFill>
              <w14:schemeClr w14:val="tx1"/>
            </w14:solidFill>
          </w14:textFill>
        </w:rPr>
      </w:pPr>
      <w:r>
        <w:rPr>
          <w:rFonts w:hint="eastAsia"/>
          <w:color w:val="000000" w:themeColor="text1"/>
          <w14:textFill>
            <w14:solidFill>
              <w14:schemeClr w14:val="tx1"/>
            </w14:solidFill>
          </w14:textFill>
        </w:rPr>
        <w:t>法定代表人：吕益鸿</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统一社会信用代码：91330825087362230K   电话：</w:t>
      </w:r>
    </w:p>
    <w:p>
      <w:pPr>
        <w:snapToGrid w:val="0"/>
        <w:spacing w:line="360" w:lineRule="auto"/>
        <w:rPr>
          <w:rFonts w:ascii="黑体" w:eastAsia="黑体"/>
          <w:b/>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账号：</w:t>
      </w:r>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p>
    <w:p>
      <w:pPr>
        <w:snapToGrid w:val="0"/>
        <w:spacing w:line="360" w:lineRule="auto"/>
        <w:rPr>
          <w:rFonts w:ascii="仿宋_GB2312" w:eastAsia="仿宋_GB2312"/>
          <w:color w:val="000000" w:themeColor="text1"/>
          <w:sz w:val="30"/>
          <w:szCs w:val="30"/>
          <w14:textFill>
            <w14:solidFill>
              <w14:schemeClr w14:val="tx1"/>
            </w14:solidFill>
          </w14:textFill>
        </w:rPr>
      </w:pPr>
      <w:r>
        <w:rPr>
          <w:rFonts w:hint="eastAsia"/>
          <w:color w:val="000000" w:themeColor="text1"/>
          <w14:textFill>
            <w14:solidFill>
              <w14:schemeClr w14:val="tx1"/>
            </w14:solidFill>
          </w14:textFill>
        </w:rPr>
        <w:t>受让方（以下简称乙方）：</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注册地址/住所：</w:t>
      </w:r>
    </w:p>
    <w:p>
      <w:pPr>
        <w:snapToGrid w:val="0"/>
        <w:spacing w:line="360" w:lineRule="auto"/>
        <w:rPr>
          <w:rFonts w:ascii="仿宋_GB2312" w:eastAsia="仿宋_GB2312"/>
          <w:color w:val="000000" w:themeColor="text1"/>
          <w:sz w:val="24"/>
          <w14:textFill>
            <w14:solidFill>
              <w14:schemeClr w14:val="tx1"/>
            </w14:solidFill>
          </w14:textFill>
        </w:rPr>
      </w:pPr>
      <w:r>
        <w:rPr>
          <w:rFonts w:hint="eastAsia"/>
          <w:color w:val="000000" w:themeColor="text1"/>
          <w14:textFill>
            <w14:solidFill>
              <w14:schemeClr w14:val="tx1"/>
            </w14:solidFill>
          </w14:textFill>
        </w:rPr>
        <w:t>法定代表人：</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统一社会信用代码：             电话：</w:t>
      </w:r>
    </w:p>
    <w:p>
      <w:pPr>
        <w:snapToGrid w:val="0"/>
        <w:spacing w:line="360" w:lineRule="auto"/>
        <w:rPr>
          <w:rFonts w:ascii="黑体" w:eastAsia="黑体"/>
          <w:b/>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开户银行：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 账号：</w:t>
      </w:r>
    </w:p>
    <w:p>
      <w:pPr>
        <w:spacing w:line="440" w:lineRule="exact"/>
        <w:ind w:firstLine="840" w:firstLineChars="400"/>
        <w:rPr>
          <w:b/>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b/>
          <w:color w:val="000000" w:themeColor="text1"/>
          <w14:textFill>
            <w14:solidFill>
              <w14:schemeClr w14:val="tx1"/>
            </w14:solidFill>
          </w14:textFill>
        </w:rPr>
        <w:t>鉴于：</w:t>
      </w:r>
    </w:p>
    <w:p>
      <w:pPr>
        <w:numPr>
          <w:ilvl w:val="0"/>
          <w:numId w:val="18"/>
        </w:numPr>
        <w:spacing w:line="440" w:lineRule="exact"/>
        <w:ind w:lef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甲方为依中国法律设立并合法存续的企业法人，为</w:t>
      </w:r>
      <w:r>
        <w:rPr>
          <w:rFonts w:hint="eastAsia"/>
          <w:color w:val="000000" w:themeColor="text1"/>
          <w:u w:val="single"/>
          <w14:textFill>
            <w14:solidFill>
              <w14:schemeClr w14:val="tx1"/>
            </w14:solidFill>
          </w14:textFill>
        </w:rPr>
        <w:t>有限责任公司（非自然人投资或控股的法人独资）</w:t>
      </w:r>
      <w:r>
        <w:rPr>
          <w:rFonts w:hint="eastAsia"/>
          <w:color w:val="000000" w:themeColor="text1"/>
          <w14:textFill>
            <w14:solidFill>
              <w14:schemeClr w14:val="tx1"/>
            </w14:solidFill>
          </w14:textFill>
        </w:rPr>
        <w:t>，注册证号：</w:t>
      </w:r>
      <w:r>
        <w:rPr>
          <w:rFonts w:hint="eastAsia"/>
          <w:color w:val="000000" w:themeColor="text1"/>
          <w:u w:val="single"/>
          <w14:textFill>
            <w14:solidFill>
              <w14:schemeClr w14:val="tx1"/>
            </w14:solidFill>
          </w14:textFill>
        </w:rPr>
        <w:t xml:space="preserve"> 91330825087362230K  </w:t>
      </w:r>
      <w:r>
        <w:rPr>
          <w:rFonts w:hint="eastAsia"/>
          <w:color w:val="000000" w:themeColor="text1"/>
          <w14:textFill>
            <w14:solidFill>
              <w14:schemeClr w14:val="tx1"/>
            </w14:solidFill>
          </w14:textFill>
        </w:rPr>
        <w:t>；</w:t>
      </w:r>
    </w:p>
    <w:p>
      <w:pPr>
        <w:numPr>
          <w:ilvl w:val="0"/>
          <w:numId w:val="18"/>
        </w:numPr>
        <w:spacing w:line="440" w:lineRule="exact"/>
        <w:ind w:lef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本合同所涉及之标的企业</w:t>
      </w:r>
      <w:r>
        <w:rPr>
          <w:rFonts w:hint="eastAsia" w:ascii="宋体" w:hAnsi="宋体"/>
          <w:bCs/>
          <w:color w:val="000000" w:themeColor="text1"/>
          <w:u w:val="single"/>
          <w14:textFill>
            <w14:solidFill>
              <w14:schemeClr w14:val="tx1"/>
            </w14:solidFill>
          </w14:textFill>
        </w:rPr>
        <w:t>龙游县百益农副产品批发市场有限公司</w:t>
      </w:r>
      <w:r>
        <w:rPr>
          <w:rFonts w:hint="eastAsia"/>
          <w:color w:val="000000" w:themeColor="text1"/>
          <w14:textFill>
            <w14:solidFill>
              <w14:schemeClr w14:val="tx1"/>
            </w14:solidFill>
          </w14:textFill>
        </w:rPr>
        <w:t>（下称标的企业）是合法存续的、并由甲方合法持有</w:t>
      </w:r>
      <w:r>
        <w:rPr>
          <w:rFonts w:hint="eastAsia"/>
          <w:color w:val="000000" w:themeColor="text1"/>
          <w:u w:val="single"/>
          <w14:textFill>
            <w14:solidFill>
              <w14:schemeClr w14:val="tx1"/>
            </w14:solidFill>
          </w14:textFill>
        </w:rPr>
        <w:t xml:space="preserve">100 </w:t>
      </w:r>
      <w:r>
        <w:rPr>
          <w:rFonts w:hint="eastAsia"/>
          <w:color w:val="000000" w:themeColor="text1"/>
          <w14:textFill>
            <w14:solidFill>
              <w14:schemeClr w14:val="tx1"/>
            </w14:solidFill>
          </w14:textFill>
        </w:rPr>
        <w:t>%股权的企业法人，具有独立的企业法人资格，注册证号：</w:t>
      </w:r>
      <w:r>
        <w:rPr>
          <w:rFonts w:hint="eastAsia" w:ascii="宋体" w:hAnsi="宋体"/>
          <w:bCs/>
          <w:color w:val="000000" w:themeColor="text1"/>
          <w:u w:val="single"/>
          <w14:textFill>
            <w14:solidFill>
              <w14:schemeClr w14:val="tx1"/>
            </w14:solidFill>
          </w14:textFill>
        </w:rPr>
        <w:t>91330825MA2DG5T24P</w:t>
      </w:r>
      <w:r>
        <w:rPr>
          <w:rFonts w:hint="eastAsia"/>
          <w:color w:val="000000" w:themeColor="text1"/>
          <w14:textFill>
            <w14:solidFill>
              <w14:schemeClr w14:val="tx1"/>
            </w14:solidFill>
          </w14:textFill>
        </w:rPr>
        <w:t>；</w:t>
      </w:r>
    </w:p>
    <w:p>
      <w:pPr>
        <w:numPr>
          <w:ilvl w:val="0"/>
          <w:numId w:val="18"/>
        </w:numPr>
        <w:spacing w:line="440" w:lineRule="exact"/>
        <w:ind w:lef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乙方为依据中国法律依法设立并合法存续的</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（性质）的企业、或机构，注册证号：</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14:textFill>
            <w14:solidFill>
              <w14:schemeClr w14:val="tx1"/>
            </w14:solidFill>
          </w14:textFill>
        </w:rPr>
        <w:t>。</w:t>
      </w:r>
    </w:p>
    <w:p>
      <w:pPr>
        <w:numPr>
          <w:ilvl w:val="0"/>
          <w:numId w:val="18"/>
        </w:numPr>
        <w:spacing w:line="440" w:lineRule="exact"/>
        <w:ind w:left="0"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甲方同意转让其合法持有的标的企业的产权或股权；乙方同意收购上述产权或股权。</w:t>
      </w:r>
    </w:p>
    <w:p>
      <w:pPr>
        <w:spacing w:line="440" w:lineRule="exact"/>
        <w:ind w:left="420"/>
        <w:rPr>
          <w:color w:val="000000" w:themeColor="text1"/>
          <w14:textFill>
            <w14:solidFill>
              <w14:schemeClr w14:val="tx1"/>
            </w14:solidFill>
          </w14:textFill>
        </w:rPr>
      </w:pPr>
    </w:p>
    <w:p>
      <w:pPr>
        <w:spacing w:line="440" w:lineRule="exact"/>
        <w:ind w:firstLine="420" w:firstLineChars="200"/>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根据《中华人民共和国合同法》和《企业国有资产交易监督管理办法》等相关法律、法规、规章的规定，甲、乙双方遵循自愿、公平、诚实信用的原则，经</w:t>
      </w:r>
      <w:r>
        <w:rPr>
          <w:color w:val="000000" w:themeColor="text1"/>
          <w14:textFill>
            <w14:solidFill>
              <w14:schemeClr w14:val="tx1"/>
            </w14:solidFill>
          </w14:textFill>
        </w:rPr>
        <w:t>法定程序，</w:t>
      </w:r>
      <w:r>
        <w:rPr>
          <w:rFonts w:hint="eastAsia"/>
          <w:color w:val="000000" w:themeColor="text1"/>
          <w14:textFill>
            <w14:solidFill>
              <w14:schemeClr w14:val="tx1"/>
            </w14:solidFill>
          </w14:textFill>
        </w:rPr>
        <w:t>通过公开挂牌方式就甲方向乙方转让其拥</w:t>
      </w:r>
      <w:r>
        <w:rPr>
          <w:rFonts w:hint="eastAsia" w:ascii="宋体" w:hAnsi="宋体"/>
          <w:bCs/>
          <w:color w:val="000000" w:themeColor="text1"/>
          <w:szCs w:val="21"/>
          <w14:textFill>
            <w14:solidFill>
              <w14:schemeClr w14:val="tx1"/>
            </w14:solidFill>
          </w14:textFill>
        </w:rPr>
        <w:t>有的</w:t>
      </w:r>
      <w:r>
        <w:rPr>
          <w:rFonts w:hint="eastAsia" w:ascii="宋体" w:hAnsi="宋体"/>
          <w:bCs/>
          <w:color w:val="000000" w:themeColor="text1"/>
          <w:szCs w:val="21"/>
          <w:u w:val="single"/>
          <w14:textFill>
            <w14:solidFill>
              <w14:schemeClr w14:val="tx1"/>
            </w14:solidFill>
          </w14:textFill>
        </w:rPr>
        <w:t>龙游县百益农副产品批发市场有限公司60%国有股权</w:t>
      </w:r>
      <w:r>
        <w:rPr>
          <w:rFonts w:hint="eastAsia" w:ascii="宋体" w:hAnsi="宋体"/>
          <w:bCs/>
          <w:color w:val="000000" w:themeColor="text1"/>
          <w:szCs w:val="21"/>
          <w14:textFill>
            <w14:solidFill>
              <w14:schemeClr w14:val="tx1"/>
            </w14:solidFill>
          </w14:textFill>
        </w:rPr>
        <w:t>相关事宜达成一致，订立本产权交易合同（以下简称“本合同”）如下：</w:t>
      </w:r>
    </w:p>
    <w:p>
      <w:pPr>
        <w:spacing w:line="440" w:lineRule="exact"/>
        <w:ind w:firstLine="420" w:firstLineChars="200"/>
        <w:jc w:val="left"/>
        <w:rPr>
          <w:rFonts w:ascii="宋体" w:hAnsi="宋体"/>
          <w:bCs/>
          <w:color w:val="000000" w:themeColor="text1"/>
          <w:szCs w:val="21"/>
          <w14:textFill>
            <w14:solidFill>
              <w14:schemeClr w14:val="tx1"/>
            </w14:solidFill>
          </w14:textFill>
        </w:rPr>
      </w:pPr>
    </w:p>
    <w:p>
      <w:pPr>
        <w:numPr>
          <w:ilvl w:val="0"/>
          <w:numId w:val="19"/>
        </w:numPr>
        <w:tabs>
          <w:tab w:val="left" w:pos="720"/>
          <w:tab w:val="clear" w:pos="1140"/>
        </w:tabs>
        <w:spacing w:line="440" w:lineRule="exact"/>
        <w:ind w:left="0" w:firstLine="420"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定义与释义</w:t>
      </w:r>
    </w:p>
    <w:p>
      <w:pPr>
        <w:spacing w:line="440" w:lineRule="exact"/>
        <w:ind w:firstLine="470" w:firstLineChars="224"/>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除非本合同中另有约定，本合同中的有关词语含义如下：</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1.转让方，是指 </w:t>
      </w:r>
      <w:r>
        <w:rPr>
          <w:rFonts w:hint="eastAsia" w:ascii="宋体" w:hAnsi="宋体"/>
          <w:bCs/>
          <w:color w:val="000000" w:themeColor="text1"/>
          <w:szCs w:val="21"/>
          <w:u w:val="single"/>
          <w14:textFill>
            <w14:solidFill>
              <w14:schemeClr w14:val="tx1"/>
            </w14:solidFill>
          </w14:textFill>
        </w:rPr>
        <w:t>龙游县商贸物流发展有限公司</w:t>
      </w:r>
      <w:r>
        <w:rPr>
          <w:rFonts w:hint="eastAsia" w:ascii="宋体" w:hAnsi="宋体"/>
          <w:color w:val="000000" w:themeColor="text1"/>
          <w:szCs w:val="21"/>
          <w14:textFill>
            <w14:solidFill>
              <w14:schemeClr w14:val="tx1"/>
            </w14:solidFill>
          </w14:textFill>
        </w:rPr>
        <w:t>(企业名称)</w:t>
      </w:r>
      <w:r>
        <w:rPr>
          <w:rFonts w:hint="eastAsia" w:ascii="宋体" w:hAnsi="宋体"/>
          <w:bCs/>
          <w:color w:val="000000" w:themeColor="text1"/>
          <w:szCs w:val="21"/>
          <w14:textFill>
            <w14:solidFill>
              <w14:schemeClr w14:val="tx1"/>
            </w14:solidFill>
          </w14:textFill>
        </w:rPr>
        <w:t>，即甲方；</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2.受让方，是指</w:t>
      </w:r>
      <w:r>
        <w:rPr>
          <w:rFonts w:hint="eastAsia" w:ascii="宋体" w:hAnsi="宋体"/>
          <w:bCs/>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(企业名称)</w:t>
      </w:r>
      <w:r>
        <w:rPr>
          <w:rFonts w:hint="eastAsia" w:ascii="宋体" w:hAnsi="宋体"/>
          <w:bCs/>
          <w:color w:val="000000" w:themeColor="text1"/>
          <w:szCs w:val="21"/>
          <w14:textFill>
            <w14:solidFill>
              <w14:schemeClr w14:val="tx1"/>
            </w14:solidFill>
          </w14:textFill>
        </w:rPr>
        <w:t>，即乙方；</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3.产权交易中心，是指</w:t>
      </w:r>
      <w:r>
        <w:rPr>
          <w:rFonts w:hint="eastAsia" w:ascii="宋体" w:hAnsi="宋体"/>
          <w:bCs/>
          <w:color w:val="000000" w:themeColor="text1"/>
          <w:szCs w:val="21"/>
          <w:u w:val="single"/>
          <w14:textFill>
            <w14:solidFill>
              <w14:schemeClr w14:val="tx1"/>
            </w14:solidFill>
          </w14:textFill>
        </w:rPr>
        <w:t>衢州市产权交易中心有限公司</w:t>
      </w:r>
      <w:r>
        <w:rPr>
          <w:rFonts w:hint="eastAsia" w:ascii="宋体" w:hAnsi="宋体"/>
          <w:bCs/>
          <w:color w:val="000000" w:themeColor="text1"/>
          <w:szCs w:val="21"/>
          <w14:textFill>
            <w14:solidFill>
              <w14:schemeClr w14:val="tx1"/>
            </w14:solidFill>
          </w14:textFill>
        </w:rPr>
        <w:t>；</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4.产权转让：是指甲方将其持有的标的企业</w:t>
      </w:r>
      <w:r>
        <w:rPr>
          <w:rFonts w:hint="eastAsia" w:ascii="宋体" w:hAnsi="宋体"/>
          <w:bCs/>
          <w:color w:val="000000" w:themeColor="text1"/>
          <w:szCs w:val="21"/>
          <w:u w:val="single"/>
          <w14:textFill>
            <w14:solidFill>
              <w14:schemeClr w14:val="tx1"/>
            </w14:solidFill>
          </w14:textFill>
        </w:rPr>
        <w:t>60</w:t>
      </w:r>
      <w:r>
        <w:rPr>
          <w:rFonts w:hint="eastAsia" w:ascii="宋体" w:hAnsi="宋体"/>
          <w:bCs/>
          <w:color w:val="000000" w:themeColor="text1"/>
          <w:szCs w:val="21"/>
          <w14:textFill>
            <w14:solidFill>
              <w14:schemeClr w14:val="tx1"/>
            </w14:solidFill>
          </w14:textFill>
        </w:rPr>
        <w:t>%国有股权转让给乙方；</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5.转让价款：本合同下甲方就转让所持有的股权，自乙方获得的该股权的对价。</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6.重大不利影响，是指在标的企业的财务或业务、资产、财产、收益及前景中发生的，</w:t>
      </w:r>
    </w:p>
    <w:p>
      <w:pPr>
        <w:spacing w:line="44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依据合理预计，单独或共同将导致任何改变或影响，而该等改变或影响会对</w:t>
      </w:r>
      <w:r>
        <w:rPr>
          <w:rFonts w:hint="default" w:ascii="Calibri" w:hAnsi="Calibri" w:cs="Calibri"/>
          <w:color w:val="000000" w:themeColor="text1"/>
          <w:szCs w:val="21"/>
          <w14:textFill>
            <w14:solidFill>
              <w14:schemeClr w14:val="tx1"/>
            </w14:solidFill>
          </w14:textFill>
        </w:rPr>
        <w:t>①</w:t>
      </w:r>
      <w:r>
        <w:rPr>
          <w:rFonts w:hint="eastAsia" w:ascii="宋体" w:hAnsi="宋体"/>
          <w:color w:val="000000" w:themeColor="text1"/>
          <w:szCs w:val="21"/>
          <w14:textFill>
            <w14:solidFill>
              <w14:schemeClr w14:val="tx1"/>
            </w14:solidFill>
          </w14:textFill>
        </w:rPr>
        <w:t>历史的、近期或长期计划的业务、资产、财产、经营结果、标的企业的状况(财务或其它)及前景，</w:t>
      </w:r>
      <w:r>
        <w:rPr>
          <w:rFonts w:hint="default" w:ascii="Calibri" w:hAnsi="Calibri" w:cs="Calibri"/>
          <w:color w:val="000000" w:themeColor="text1"/>
          <w:szCs w:val="21"/>
          <w14:textFill>
            <w14:solidFill>
              <w14:schemeClr w14:val="tx1"/>
            </w14:solidFill>
          </w14:textFill>
        </w:rPr>
        <w:t>②</w:t>
      </w:r>
      <w:r>
        <w:rPr>
          <w:rFonts w:hint="eastAsia" w:ascii="宋体" w:hAnsi="宋体"/>
          <w:color w:val="000000" w:themeColor="text1"/>
          <w:szCs w:val="21"/>
          <w14:textFill>
            <w14:solidFill>
              <w14:schemeClr w14:val="tx1"/>
            </w14:solidFill>
          </w14:textFill>
        </w:rPr>
        <w:t>各方完成本合同下拟进行的交易，</w:t>
      </w:r>
      <w:r>
        <w:rPr>
          <w:rFonts w:hint="default" w:ascii="Calibri" w:hAnsi="Calibri" w:cs="Calibri"/>
          <w:color w:val="000000" w:themeColor="text1"/>
          <w:szCs w:val="21"/>
          <w14:textFill>
            <w14:solidFill>
              <w14:schemeClr w14:val="tx1"/>
            </w14:solidFill>
          </w14:textFill>
        </w:rPr>
        <w:t>③</w:t>
      </w:r>
      <w:r>
        <w:rPr>
          <w:rFonts w:hint="eastAsia" w:ascii="宋体" w:hAnsi="宋体"/>
          <w:color w:val="000000" w:themeColor="text1"/>
          <w:szCs w:val="21"/>
          <w14:textFill>
            <w14:solidFill>
              <w14:schemeClr w14:val="tx1"/>
            </w14:solidFill>
          </w14:textFill>
        </w:rPr>
        <w:t>标的企业的价值，</w:t>
      </w:r>
      <w:r>
        <w:rPr>
          <w:rFonts w:hint="default" w:ascii="Times New Roman" w:hAnsi="Times New Roman" w:cs="Times New Roman"/>
          <w:color w:val="000000" w:themeColor="text1"/>
          <w:szCs w:val="21"/>
          <w14:textFill>
            <w14:solidFill>
              <w14:schemeClr w14:val="tx1"/>
            </w14:solidFill>
          </w14:textFill>
        </w:rPr>
        <w:t xml:space="preserve"> ④</w:t>
      </w:r>
      <w:r>
        <w:rPr>
          <w:rFonts w:hint="eastAsia" w:ascii="宋体" w:hAnsi="宋体"/>
          <w:color w:val="000000" w:themeColor="text1"/>
          <w:szCs w:val="21"/>
          <w14:textFill>
            <w14:solidFill>
              <w14:schemeClr w14:val="tx1"/>
            </w14:solidFill>
          </w14:textFill>
        </w:rPr>
        <w:t>或转让方完成本合同下交易或履行其在本合同下义务的能力等，产生重大不利影响。</w:t>
      </w:r>
    </w:p>
    <w:p>
      <w:pPr>
        <w:numPr>
          <w:ilvl w:val="0"/>
          <w:numId w:val="20"/>
        </w:num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评估基准日,指甲方委托具有</w:t>
      </w:r>
      <w:r>
        <w:rPr>
          <w:rFonts w:hint="eastAsia"/>
          <w:color w:val="000000" w:themeColor="text1"/>
          <w14:textFill>
            <w14:solidFill>
              <w14:schemeClr w14:val="tx1"/>
            </w14:solidFill>
          </w14:textFill>
        </w:rPr>
        <w:t>评估资质的资产评估公司</w:t>
      </w:r>
      <w:r>
        <w:rPr>
          <w:rFonts w:hint="eastAsia" w:ascii="宋体" w:hAnsi="宋体"/>
          <w:color w:val="000000" w:themeColor="text1"/>
          <w:szCs w:val="21"/>
          <w14:textFill>
            <w14:solidFill>
              <w14:schemeClr w14:val="tx1"/>
            </w14:solidFill>
          </w14:textFill>
        </w:rPr>
        <w:t>进行评估并出具的《资产评估</w:t>
      </w:r>
    </w:p>
    <w:p>
      <w:pPr>
        <w:spacing w:line="44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报告书》的基准日，指</w:t>
      </w:r>
      <w:r>
        <w:rPr>
          <w:rFonts w:hint="eastAsia" w:ascii="宋体" w:hAnsi="宋体"/>
          <w:color w:val="000000" w:themeColor="text1"/>
          <w:szCs w:val="21"/>
          <w:u w:val="single"/>
          <w14:textFill>
            <w14:solidFill>
              <w14:schemeClr w14:val="tx1"/>
            </w14:solidFill>
          </w14:textFill>
        </w:rPr>
        <w:t xml:space="preserve"> 2019</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7</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31 </w:t>
      </w:r>
      <w:r>
        <w:rPr>
          <w:rFonts w:hint="eastAsia" w:ascii="宋体" w:hAnsi="宋体"/>
          <w:color w:val="000000" w:themeColor="text1"/>
          <w:szCs w:val="21"/>
          <w14:textFill>
            <w14:solidFill>
              <w14:schemeClr w14:val="tx1"/>
            </w14:solidFill>
          </w14:textFill>
        </w:rPr>
        <w:t>日。</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8.竞买保证金，指在本合同签订前，乙方按照甲方和产权交易中心的要求，支付至产权交易中心指定账户的、作为乙方提出受让意向的担保，并表明其资信状况及履约能力的</w:t>
      </w:r>
      <w:r>
        <w:rPr>
          <w:rFonts w:hint="eastAsia" w:ascii="宋体" w:hAnsi="宋体"/>
          <w:color w:val="000000" w:themeColor="text1"/>
          <w:szCs w:val="21"/>
          <w:u w:val="single"/>
          <w14:textFill>
            <w14:solidFill>
              <w14:schemeClr w14:val="tx1"/>
            </w14:solidFill>
          </w14:textFill>
        </w:rPr>
        <w:t>壹仟</w:t>
      </w:r>
      <w:r>
        <w:rPr>
          <w:rFonts w:hint="eastAsia" w:ascii="宋体" w:hAnsi="宋体"/>
          <w:color w:val="000000" w:themeColor="text1"/>
          <w:szCs w:val="21"/>
          <w14:textFill>
            <w14:solidFill>
              <w14:schemeClr w14:val="tx1"/>
            </w14:solidFill>
          </w14:textFill>
        </w:rPr>
        <w:t>万</w:t>
      </w:r>
      <w:r>
        <w:rPr>
          <w:rFonts w:hint="eastAsia" w:ascii="宋体" w:hAnsi="宋体"/>
          <w:color w:val="000000" w:themeColor="text1"/>
          <w:szCs w:val="21"/>
          <w14:textFill>
            <w14:solidFill>
              <w14:schemeClr w14:val="tx1"/>
            </w14:solidFill>
          </w14:textFill>
        </w:rPr>
        <w:t>元人民币；</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9.审批机关：指依法律、法规规定具有审批权限的机关或其地方授权机关</w:t>
      </w:r>
      <w:r>
        <w:rPr>
          <w:rFonts w:hint="eastAsia" w:ascii="宋体" w:hAnsi="宋体"/>
          <w:color w:val="000000" w:themeColor="text1"/>
          <w:szCs w:val="21"/>
          <w14:textFill>
            <w14:solidFill>
              <w14:schemeClr w14:val="tx1"/>
            </w14:solidFill>
          </w14:textFill>
        </w:rPr>
        <w:t>；</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10.登记机关：指中华人民共和国工商行政管理总局或其地方授权机关；</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11.产权/股权转让完成：是指甲乙双方将产权或股权转让事宜记载于股东名册并办理</w:t>
      </w:r>
    </w:p>
    <w:p>
      <w:pPr>
        <w:spacing w:line="44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完毕工商变更登记手续，或在股权托管机构办理完毕转让手续并办理完毕工商变更登记手续。</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12.过渡期：</w:t>
      </w:r>
      <w:r>
        <w:rPr>
          <w:rFonts w:hint="eastAsia" w:ascii="宋体" w:hAnsi="宋体"/>
          <w:color w:val="000000" w:themeColor="text1"/>
          <w:szCs w:val="21"/>
          <w14:textFill>
            <w14:solidFill>
              <w14:schemeClr w14:val="tx1"/>
            </w14:solidFill>
          </w14:textFill>
        </w:rPr>
        <w:t>是指评估基准日至产权交割日的期间。</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13.产权交易费用：指转让方和/或受让方或标的企业就转让产权或谈判、准备、签署</w:t>
      </w:r>
    </w:p>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和/或本合同下的任何文件、或履行、完成本合同下交易而发生的，包括取得必要或适当的任何政府部门或第三方的豁免、同意或批准而发生的费用及支出；以及产权交易机构或中间人费用等所有现款支出和服务费用的总额。</w:t>
      </w:r>
    </w:p>
    <w:p>
      <w:pPr>
        <w:numPr>
          <w:ilvl w:val="0"/>
          <w:numId w:val="21"/>
        </w:numPr>
        <w:spacing w:line="440" w:lineRule="exact"/>
        <w:ind w:left="420" w:left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产权交易凭证</w:t>
      </w:r>
      <w:r>
        <w:rPr>
          <w:rFonts w:hint="eastAsia" w:ascii="宋体" w:hAnsi="宋体"/>
          <w:color w:val="000000" w:themeColor="text1"/>
          <w:szCs w:val="21"/>
          <w14:textFill>
            <w14:solidFill>
              <w14:schemeClr w14:val="tx1"/>
            </w14:solidFill>
          </w14:textFill>
        </w:rPr>
        <w:t>，指产权交易中心就产权或股权转让事项出具的用于表明已按照交易</w:t>
      </w:r>
    </w:p>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规则完成场内交易程序的《产权交易成交确认书》。</w:t>
      </w:r>
    </w:p>
    <w:p>
      <w:pPr>
        <w:pStyle w:val="35"/>
        <w:numPr>
          <w:ilvl w:val="0"/>
          <w:numId w:val="0"/>
        </w:numPr>
        <w:spacing w:after="0" w:line="440" w:lineRule="exact"/>
        <w:ind w:firstLine="472" w:firstLineChars="225"/>
        <w:jc w:val="both"/>
        <w:rPr>
          <w:rFonts w:ascii="宋体" w:hAnsi="宋体"/>
          <w:color w:val="000000" w:themeColor="text1"/>
          <w:sz w:val="21"/>
          <w:szCs w:val="21"/>
          <w:lang w:eastAsia="zh-CN"/>
          <w14:textFill>
            <w14:solidFill>
              <w14:schemeClr w14:val="tx1"/>
            </w14:solidFill>
          </w14:textFill>
        </w:rPr>
      </w:pPr>
    </w:p>
    <w:p>
      <w:pPr>
        <w:pStyle w:val="35"/>
        <w:numPr>
          <w:ilvl w:val="0"/>
          <w:numId w:val="0"/>
        </w:numPr>
        <w:spacing w:after="0" w:line="440" w:lineRule="exact"/>
        <w:ind w:firstLine="472" w:firstLineChars="225"/>
        <w:jc w:val="both"/>
        <w:rPr>
          <w:rFonts w:ascii="宋体" w:hAnsi="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除非另有明确规定，在本合同中，应适用如下解释规则：</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.货币：在本协议中，凡提及RMB或人民币时均指中国法定货币。</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.包括：指包括但不限于。</w:t>
      </w:r>
    </w:p>
    <w:p>
      <w:pPr>
        <w:spacing w:line="440" w:lineRule="exact"/>
        <w:ind w:left="840"/>
        <w:rPr>
          <w:rFonts w:ascii="宋体" w:hAnsi="宋体"/>
          <w:color w:val="000000" w:themeColor="text1"/>
          <w:szCs w:val="2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转让标的</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1.本合同转让标的为：甲方所持有的</w:t>
      </w:r>
      <w:r>
        <w:rPr>
          <w:rFonts w:hint="eastAsia" w:ascii="宋体" w:hAnsi="宋体"/>
          <w:bCs/>
          <w:color w:val="000000" w:themeColor="text1"/>
          <w:szCs w:val="21"/>
          <w:u w:val="single"/>
          <w14:textFill>
            <w14:solidFill>
              <w14:schemeClr w14:val="tx1"/>
            </w14:solidFill>
          </w14:textFill>
        </w:rPr>
        <w:t>龙游县百益农副产品批发市场有限公司</w:t>
      </w:r>
      <w:r>
        <w:rPr>
          <w:rFonts w:hint="eastAsia"/>
          <w:color w:val="000000" w:themeColor="text1"/>
          <w14:textFill>
            <w14:solidFill>
              <w14:schemeClr w14:val="tx1"/>
            </w14:solidFill>
          </w14:textFill>
        </w:rPr>
        <w:t>（以下简称</w:t>
      </w:r>
      <w:r>
        <w:rPr>
          <w:rFonts w:hint="eastAsia"/>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标的企业</w:t>
      </w:r>
      <w:r>
        <w:rPr>
          <w:rFonts w:hint="eastAsia"/>
          <w:bCs/>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hint="eastAsia" w:ascii="宋体" w:hAnsi="宋体"/>
          <w:bCs/>
          <w:color w:val="000000" w:themeColor="text1"/>
          <w:szCs w:val="21"/>
          <w:u w:val="single"/>
          <w14:textFill>
            <w14:solidFill>
              <w14:schemeClr w14:val="tx1"/>
            </w14:solidFill>
          </w14:textFill>
        </w:rPr>
        <w:t>60%国有股权</w:t>
      </w:r>
      <w:r>
        <w:rPr>
          <w:rFonts w:hint="eastAsia"/>
          <w:color w:val="000000" w:themeColor="text1"/>
          <w14:textFill>
            <w14:solidFill>
              <w14:schemeClr w14:val="tx1"/>
            </w14:solidFill>
          </w14:textFill>
        </w:rPr>
        <w:t>（以下简称“</w:t>
      </w:r>
      <w:r>
        <w:rPr>
          <w:rFonts w:hint="eastAsia"/>
          <w:b/>
          <w:color w:val="000000" w:themeColor="text1"/>
          <w14:textFill>
            <w14:solidFill>
              <w14:schemeClr w14:val="tx1"/>
            </w14:solidFill>
          </w14:textFill>
        </w:rPr>
        <w:t>转让标的</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2.甲方就其持有的转让标的所认缴的出资伍仟万元人民币于</w:t>
      </w:r>
      <w:r>
        <w:rPr>
          <w:rFonts w:hint="eastAsia"/>
          <w:color w:val="000000" w:themeColor="text1"/>
          <w:u w:val="single"/>
          <w14:textFill>
            <w14:solidFill>
              <w14:schemeClr w14:val="tx1"/>
            </w14:solidFill>
          </w14:textFill>
        </w:rPr>
        <w:t>2019年5月7日</w:t>
      </w:r>
      <w:r>
        <w:rPr>
          <w:rFonts w:hint="eastAsia"/>
          <w:color w:val="000000" w:themeColor="text1"/>
          <w14:textFill>
            <w14:solidFill>
              <w14:schemeClr w14:val="tx1"/>
            </w14:solidFill>
          </w14:textFill>
        </w:rPr>
        <w:t>已缴纳到位；</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14:textFill>
            <w14:solidFill>
              <w14:schemeClr w14:val="tx1"/>
            </w14:solidFill>
          </w14:textFill>
        </w:rPr>
        <w:t>转让标的未作过任何形式的担保，包括但不限于在该产权上设置质押、或任何影响产权转让或股东权利行使的限制或义务。转让标的也未被任何有权机构采取查封等强制性措施。</w:t>
      </w:r>
    </w:p>
    <w:p>
      <w:pPr>
        <w:spacing w:line="440" w:lineRule="exact"/>
        <w:ind w:firstLine="420" w:firstLineChars="200"/>
        <w:jc w:val="center"/>
        <w:rPr>
          <w:rFonts w:hint="eastAsia" w:eastAsia="宋体"/>
          <w:color w:val="000000" w:themeColor="text1"/>
          <w:lang w:val="en-US" w:eastAsia="zh-CN"/>
          <w14:textFill>
            <w14:solidFill>
              <w14:schemeClr w14:val="tx1"/>
            </w14:solidFill>
          </w14:textFill>
        </w:rPr>
      </w:pPr>
    </w:p>
    <w:p>
      <w:pPr>
        <w:numPr>
          <w:ilvl w:val="0"/>
          <w:numId w:val="19"/>
        </w:numPr>
        <w:spacing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标的企业</w:t>
      </w:r>
    </w:p>
    <w:p>
      <w:pPr>
        <w:spacing w:line="440" w:lineRule="exact"/>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1.标的企业系依法设立的</w:t>
      </w:r>
      <w:r>
        <w:rPr>
          <w:rFonts w:hint="eastAsia"/>
          <w:color w:val="000000" w:themeColor="text1"/>
          <w:u w:val="single"/>
          <w:lang w:val="en-US" w:eastAsia="zh-CN"/>
          <w14:textFill>
            <w14:solidFill>
              <w14:schemeClr w14:val="tx1"/>
            </w14:solidFill>
          </w14:textFill>
        </w:rPr>
        <w:t>其他</w:t>
      </w:r>
      <w:r>
        <w:rPr>
          <w:rFonts w:hint="eastAsia"/>
          <w:color w:val="000000" w:themeColor="text1"/>
          <w:u w:val="single"/>
          <w14:textFill>
            <w14:solidFill>
              <w14:schemeClr w14:val="tx1"/>
            </w14:solidFill>
          </w14:textFill>
        </w:rPr>
        <w:t>有限责任公司</w:t>
      </w:r>
      <w:r>
        <w:rPr>
          <w:rFonts w:hint="eastAsia"/>
          <w:color w:val="000000" w:themeColor="text1"/>
          <w14:textFill>
            <w14:solidFill>
              <w14:schemeClr w14:val="tx1"/>
            </w14:solidFill>
          </w14:textFill>
        </w:rPr>
        <w:t>，注册资本</w:t>
      </w:r>
      <w:r>
        <w:rPr>
          <w:rFonts w:hint="eastAsia"/>
          <w:color w:val="000000" w:themeColor="text1"/>
          <w:u w:val="single"/>
          <w14:textFill>
            <w14:solidFill>
              <w14:schemeClr w14:val="tx1"/>
            </w14:solidFill>
          </w14:textFill>
        </w:rPr>
        <w:t>伍仟</w:t>
      </w:r>
      <w:r>
        <w:rPr>
          <w:rFonts w:hint="eastAsia"/>
          <w:color w:val="000000" w:themeColor="text1"/>
          <w14:textFill>
            <w14:solidFill>
              <w14:schemeClr w14:val="tx1"/>
            </w14:solidFill>
          </w14:textFill>
        </w:rPr>
        <w:t>万元，实收资本</w:t>
      </w:r>
      <w:r>
        <w:rPr>
          <w:rFonts w:hint="eastAsia"/>
          <w:color w:val="000000" w:themeColor="text1"/>
          <w:u w:val="single"/>
          <w14:textFill>
            <w14:solidFill>
              <w14:schemeClr w14:val="tx1"/>
            </w14:solidFill>
          </w14:textFill>
        </w:rPr>
        <w:t xml:space="preserve"> 伍仟</w:t>
      </w:r>
      <w:r>
        <w:rPr>
          <w:rFonts w:hint="eastAsia"/>
          <w:color w:val="000000" w:themeColor="text1"/>
          <w14:textFill>
            <w14:solidFill>
              <w14:schemeClr w14:val="tx1"/>
            </w14:solidFill>
          </w14:textFill>
        </w:rPr>
        <w:t>万元，住所</w:t>
      </w:r>
      <w:r>
        <w:rPr>
          <w:rFonts w:hint="eastAsia"/>
          <w:color w:val="000000" w:themeColor="text1"/>
          <w:u w:val="single"/>
          <w14:textFill>
            <w14:solidFill>
              <w14:schemeClr w14:val="tx1"/>
            </w14:solidFill>
          </w14:textFill>
        </w:rPr>
        <w:t>浙江省衢州市龙游县东华街道粮食市场B</w:t>
      </w:r>
      <w:r>
        <w:rPr>
          <w:rFonts w:hint="eastAsia"/>
          <w:color w:val="000000" w:themeColor="text1"/>
          <w:u w:val="single"/>
          <w:lang w:val="en-US" w:eastAsia="zh-CN"/>
          <w14:textFill>
            <w14:solidFill>
              <w14:schemeClr w14:val="tx1"/>
            </w14:solidFill>
          </w14:textFill>
        </w:rPr>
        <w:t>幢</w:t>
      </w:r>
      <w:r>
        <w:rPr>
          <w:rFonts w:hint="eastAsia"/>
          <w:color w:val="000000" w:themeColor="text1"/>
          <w:u w:val="single"/>
          <w14:textFill>
            <w14:solidFill>
              <w14:schemeClr w14:val="tx1"/>
            </w14:solidFill>
          </w14:textFill>
        </w:rPr>
        <w:t>1-56、57室</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2.标的企业的全部资产、负债已经拥有评估资质的</w:t>
      </w:r>
      <w:r>
        <w:rPr>
          <w:rFonts w:hint="eastAsia"/>
          <w:color w:val="000000" w:themeColor="text1"/>
          <w:u w:val="single"/>
          <w14:textFill>
            <w14:solidFill>
              <w14:schemeClr w14:val="tx1"/>
            </w14:solidFill>
          </w14:textFill>
        </w:rPr>
        <w:t>龙游正信资产评估事务所</w:t>
      </w:r>
      <w:r>
        <w:rPr>
          <w:rFonts w:hint="eastAsia"/>
          <w:color w:val="000000" w:themeColor="text1"/>
          <w14:textFill>
            <w14:solidFill>
              <w14:schemeClr w14:val="tx1"/>
            </w14:solidFill>
          </w14:textFill>
        </w:rPr>
        <w:t>评估，出具了以</w:t>
      </w:r>
      <w:r>
        <w:rPr>
          <w:rFonts w:hint="eastAsia"/>
          <w:color w:val="000000" w:themeColor="text1"/>
          <w:u w:val="single"/>
          <w14:textFill>
            <w14:solidFill>
              <w14:schemeClr w14:val="tx1"/>
            </w14:solidFill>
          </w14:textFill>
        </w:rPr>
        <w:t xml:space="preserve">  2019</w:t>
      </w:r>
      <w:r>
        <w:rPr>
          <w:rFonts w:hint="eastAsia"/>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7</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xml:space="preserve"> 31 </w:t>
      </w:r>
      <w:r>
        <w:rPr>
          <w:rFonts w:hint="eastAsia"/>
          <w:color w:val="000000" w:themeColor="text1"/>
          <w14:textFill>
            <w14:solidFill>
              <w14:schemeClr w14:val="tx1"/>
            </w14:solidFill>
          </w14:textFill>
        </w:rPr>
        <w:t>日</w:t>
      </w:r>
      <w:r>
        <w:rPr>
          <w:rFonts w:hint="eastAsia"/>
          <w:color w:val="000000" w:themeColor="text1"/>
          <w14:textFill>
            <w14:solidFill>
              <w14:schemeClr w14:val="tx1"/>
            </w14:solidFill>
          </w14:textFill>
        </w:rPr>
        <w:t>为评估基准日的</w:t>
      </w:r>
      <w:r>
        <w:rPr>
          <w:rFonts w:ascii="宋体" w:hAnsi="宋体"/>
          <w:color w:val="000000" w:themeColor="text1"/>
          <w:kern w:val="0"/>
          <w:szCs w:val="21"/>
          <w:u w:val="single"/>
          <w14:textFill>
            <w14:solidFill>
              <w14:schemeClr w14:val="tx1"/>
            </w14:solidFill>
          </w14:textFill>
        </w:rPr>
        <w:t>正信评</w:t>
      </w:r>
      <w:r>
        <w:rPr>
          <w:rFonts w:hint="eastAsia" w:ascii="宋体" w:hAnsi="宋体"/>
          <w:color w:val="000000" w:themeColor="text1"/>
          <w:kern w:val="0"/>
          <w:szCs w:val="21"/>
          <w:u w:val="single"/>
          <w14:textFill>
            <w14:solidFill>
              <w14:schemeClr w14:val="tx1"/>
            </w14:solidFill>
          </w14:textFill>
        </w:rPr>
        <w:t>报</w:t>
      </w:r>
      <w:r>
        <w:rPr>
          <w:rFonts w:ascii="宋体" w:hAnsi="宋体"/>
          <w:color w:val="000000" w:themeColor="text1"/>
          <w:kern w:val="0"/>
          <w:szCs w:val="21"/>
          <w:u w:val="single"/>
          <w14:textFill>
            <w14:solidFill>
              <w14:schemeClr w14:val="tx1"/>
            </w14:solidFill>
          </w14:textFill>
        </w:rPr>
        <w:t>字</w:t>
      </w:r>
      <w:r>
        <w:rPr>
          <w:rFonts w:hint="eastAsia" w:ascii="宋体" w:hAnsi="宋体"/>
          <w:color w:val="000000" w:themeColor="text1"/>
          <w:kern w:val="0"/>
          <w:szCs w:val="21"/>
          <w:u w:val="single"/>
          <w14:textFill>
            <w14:solidFill>
              <w14:schemeClr w14:val="tx1"/>
            </w14:solidFill>
          </w14:textFill>
        </w:rPr>
        <w:t>（2019）第128号</w:t>
      </w:r>
      <w:r>
        <w:rPr>
          <w:rFonts w:hint="eastAsia"/>
          <w:color w:val="000000" w:themeColor="text1"/>
          <w14:textFill>
            <w14:solidFill>
              <w14:schemeClr w14:val="tx1"/>
            </w14:solidFill>
          </w14:textFill>
        </w:rPr>
        <w:t>《资产评估报告书》。</w:t>
      </w:r>
    </w:p>
    <w:p>
      <w:pPr>
        <w:spacing w:line="440" w:lineRule="exact"/>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3.标的企业不存在上述《资产评估报告书》中未予披露或遗漏的、可能影响评估结果，或对标的企业及其产权价值产生重大不利影响的任何事项。</w:t>
      </w:r>
    </w:p>
    <w:p>
      <w:pPr>
        <w:spacing w:line="440" w:lineRule="exact"/>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4.甲乙双方在标的企业《资产评估报告书》评估结果的基础上达成本合同各项条款。</w:t>
      </w:r>
    </w:p>
    <w:p>
      <w:pPr>
        <w:spacing w:line="440" w:lineRule="exact"/>
        <w:ind w:left="454"/>
        <w:rPr>
          <w:color w:val="000000" w:themeColor="text1"/>
          <w:u w:val="single"/>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转让方式</w:t>
      </w:r>
      <w:r>
        <w:rPr>
          <w:rFonts w:hint="eastAsia"/>
          <w:color w:val="000000" w:themeColor="text1"/>
          <w14:textFill>
            <w14:solidFill>
              <w14:schemeClr w14:val="tx1"/>
            </w14:solidFill>
          </w14:textFill>
        </w:rPr>
        <w:t>（下列根据实际情况确定）</w:t>
      </w:r>
    </w:p>
    <w:p>
      <w:pPr>
        <w:spacing w:line="440" w:lineRule="exact"/>
        <w:ind w:firstLine="42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本合同项下产权交易已于</w:t>
      </w:r>
      <w:r>
        <w:rPr>
          <w:rFonts w:hint="eastAsia" w:ascii="宋体" w:hAnsi="宋体"/>
          <w:color w:val="000000" w:themeColor="text1"/>
          <w:szCs w:val="21"/>
          <w:u w:val="single"/>
          <w14:textFill>
            <w14:solidFill>
              <w14:schemeClr w14:val="tx1"/>
            </w14:solidFill>
          </w14:textFill>
        </w:rPr>
        <w:t>2019</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hint="eastAsia" w:ascii="宋体" w:hAnsi="宋体"/>
          <w:bCs/>
          <w:color w:val="000000" w:themeColor="text1"/>
          <w:szCs w:val="21"/>
          <w14:textFill>
            <w14:solidFill>
              <w14:schemeClr w14:val="tx1"/>
            </w14:solidFill>
          </w14:textFill>
        </w:rPr>
        <w:t>经产权交易中心公开挂牌，挂牌期间只产生乙方一个意向受让方，由乙方依法受让本合同项下转让标的。</w:t>
      </w:r>
    </w:p>
    <w:p>
      <w:pPr>
        <w:spacing w:line="440" w:lineRule="exact"/>
        <w:ind w:firstLine="42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或：</w:t>
      </w:r>
      <w:r>
        <w:rPr>
          <w:rFonts w:hint="eastAsia" w:ascii="宋体" w:hAnsi="宋体"/>
          <w:bCs/>
          <w:color w:val="000000" w:themeColor="text1"/>
          <w:szCs w:val="21"/>
          <w14:textFill>
            <w14:solidFill>
              <w14:schemeClr w14:val="tx1"/>
            </w14:solidFill>
          </w14:textFill>
        </w:rPr>
        <w:t>本合同项下产权交易已于</w:t>
      </w:r>
      <w:r>
        <w:rPr>
          <w:rFonts w:hint="eastAsia" w:ascii="宋体" w:hAnsi="宋体"/>
          <w:bCs/>
          <w:color w:val="000000" w:themeColor="text1"/>
          <w:szCs w:val="21"/>
          <w:u w:val="single"/>
          <w14:textFill>
            <w14:solidFill>
              <w14:schemeClr w14:val="tx1"/>
            </w14:solidFill>
          </w14:textFill>
        </w:rPr>
        <w:t>2019</w:t>
      </w:r>
      <w:r>
        <w:rPr>
          <w:rFonts w:hint="eastAsia"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r>
        <w:rPr>
          <w:rFonts w:hint="eastAsia" w:ascii="宋体" w:hAnsi="宋体"/>
          <w:bCs/>
          <w:color w:val="000000" w:themeColor="text1"/>
          <w:szCs w:val="21"/>
          <w14:textFill>
            <w14:solidFill>
              <w14:schemeClr w14:val="tx1"/>
            </w14:solidFill>
          </w14:textFill>
        </w:rPr>
        <w:t>经衢州市产权交易中心有限公司公开挂牌，挂牌期间产生个意向受让方，并于</w:t>
      </w:r>
      <w:r>
        <w:rPr>
          <w:rFonts w:hint="eastAsia" w:ascii="宋体" w:hAnsi="宋体"/>
          <w:bCs/>
          <w:color w:val="000000" w:themeColor="text1"/>
          <w:szCs w:val="21"/>
          <w:u w:val="single"/>
          <w14:textFill>
            <w14:solidFill>
              <w14:schemeClr w14:val="tx1"/>
            </w14:solidFill>
          </w14:textFill>
        </w:rPr>
        <w:t>2019</w:t>
      </w:r>
      <w:r>
        <w:rPr>
          <w:rFonts w:hint="eastAsia"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r>
        <w:rPr>
          <w:rFonts w:hint="eastAsia" w:ascii="宋体" w:hAnsi="宋体"/>
          <w:bCs/>
          <w:color w:val="000000" w:themeColor="text1"/>
          <w:szCs w:val="21"/>
          <w14:textFill>
            <w14:solidFill>
              <w14:schemeClr w14:val="tx1"/>
            </w14:solidFill>
          </w14:textFill>
        </w:rPr>
        <w:t>以网络竞价方式组织实施，由乙方依法作为受让方受让本合同项下转让标的。</w:t>
      </w:r>
    </w:p>
    <w:p>
      <w:pPr>
        <w:spacing w:line="440" w:lineRule="exact"/>
        <w:ind w:firstLine="420" w:firstLineChars="200"/>
        <w:rPr>
          <w:b/>
          <w:bCs/>
          <w:color w:val="000000" w:themeColor="text1"/>
          <w:szCs w:val="2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转让价格、价款支付时间和方式及付款条件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1.转让价格：根据公开挂牌结果</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或公开竞价结果）</w:t>
      </w:r>
      <w:r>
        <w:rPr>
          <w:rFonts w:hint="eastAsia"/>
          <w:color w:val="000000" w:themeColor="text1"/>
          <w14:textFill>
            <w14:solidFill>
              <w14:schemeClr w14:val="tx1"/>
            </w14:solidFill>
          </w14:textFill>
        </w:rPr>
        <w:t>，甲方将本合同项下转让标的以人民币（</w:t>
      </w:r>
      <w:r>
        <w:rPr>
          <w:rFonts w:hint="eastAsia"/>
          <w:color w:val="000000" w:themeColor="text1"/>
          <w14:textFill>
            <w14:solidFill>
              <w14:schemeClr w14:val="tx1"/>
            </w14:solidFill>
          </w14:textFill>
        </w:rPr>
        <w:t>大写）</w:t>
      </w:r>
      <w:r>
        <w:rPr>
          <w:rFonts w:hint="eastAsia"/>
          <w:color w:val="000000" w:themeColor="text1"/>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仟</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佰</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拾</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万元整</w:t>
      </w:r>
      <w:r>
        <w:rPr>
          <w:rFonts w:hint="eastAsia"/>
          <w:color w:val="000000" w:themeColor="text1"/>
          <w14:textFill>
            <w14:solidFill>
              <w14:schemeClr w14:val="tx1"/>
            </w14:solidFill>
          </w14:textFill>
        </w:rPr>
        <w:t>，即：人民币（小写）</w:t>
      </w:r>
      <w:r>
        <w:rPr>
          <w:rFonts w:ascii="Arial" w:hAnsi="Arial" w:cs="Arial"/>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 xml:space="preserve"> </w:t>
      </w:r>
      <w:r>
        <w:rPr>
          <w:rFonts w:hint="eastAsia" w:ascii="Arial" w:hAnsi="Arial" w:cs="Arial"/>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元</w:t>
      </w:r>
      <w:r>
        <w:rPr>
          <w:rFonts w:hint="eastAsia"/>
          <w:color w:val="000000" w:themeColor="text1"/>
          <w14:textFill>
            <w14:solidFill>
              <w14:schemeClr w14:val="tx1"/>
            </w14:solidFill>
          </w14:textFill>
        </w:rPr>
        <w:t>（以下简称“转让价款”）转让给乙方。本合同签订后，乙方</w:t>
      </w:r>
      <w:r>
        <w:rPr>
          <w:rFonts w:hint="eastAsia"/>
          <w:color w:val="000000" w:themeColor="text1"/>
          <w:lang w:val="en-US" w:eastAsia="zh-CN"/>
          <w14:textFill>
            <w14:solidFill>
              <w14:schemeClr w14:val="tx1"/>
            </w14:solidFill>
          </w14:textFill>
        </w:rPr>
        <w:t>缴纳</w:t>
      </w:r>
      <w:r>
        <w:rPr>
          <w:rFonts w:hint="eastAsia"/>
          <w:color w:val="000000" w:themeColor="text1"/>
          <w14:textFill>
            <w14:solidFill>
              <w14:schemeClr w14:val="tx1"/>
            </w14:solidFill>
          </w14:textFill>
        </w:rPr>
        <w:t>的</w:t>
      </w:r>
      <w:r>
        <w:rPr>
          <w:rFonts w:hint="eastAsia" w:ascii="宋体" w:hAnsi="宋体"/>
          <w:color w:val="000000" w:themeColor="text1"/>
          <w:szCs w:val="21"/>
          <w14:textFill>
            <w14:solidFill>
              <w14:schemeClr w14:val="tx1"/>
            </w14:solidFill>
          </w14:textFill>
        </w:rPr>
        <w:t>竞买保证金（现保管于</w:t>
      </w:r>
      <w:r>
        <w:rPr>
          <w:rFonts w:hint="eastAsia" w:ascii="宋体" w:hAnsi="宋体"/>
          <w:bCs/>
          <w:color w:val="000000" w:themeColor="text1"/>
          <w:szCs w:val="21"/>
          <w14:textFill>
            <w14:solidFill>
              <w14:schemeClr w14:val="tx1"/>
            </w14:solidFill>
          </w14:textFill>
        </w:rPr>
        <w:t>产权交易中心</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在扣除交易手续费后的余额</w:t>
      </w:r>
      <w:r>
        <w:rPr>
          <w:rFonts w:hint="eastAsia" w:ascii="宋体" w:hAnsi="宋体"/>
          <w:color w:val="000000" w:themeColor="text1"/>
          <w:szCs w:val="21"/>
          <w:lang w:val="en-US" w:eastAsia="zh-CN"/>
          <w14:textFill>
            <w14:solidFill>
              <w14:schemeClr w14:val="tx1"/>
            </w14:solidFill>
          </w14:textFill>
        </w:rPr>
        <w:t>可转为</w:t>
      </w:r>
      <w:r>
        <w:rPr>
          <w:rFonts w:hint="eastAsia"/>
          <w:color w:val="000000" w:themeColor="text1"/>
          <w14:textFill>
            <w14:solidFill>
              <w14:schemeClr w14:val="tx1"/>
            </w14:solidFill>
          </w14:textFill>
        </w:rPr>
        <w:t>转让价款</w:t>
      </w:r>
      <w:r>
        <w:rPr>
          <w:rFonts w:hint="eastAsia"/>
          <w:color w:val="000000" w:themeColor="text1"/>
          <w:lang w:eastAsia="zh-CN"/>
          <w14:textFill>
            <w14:solidFill>
              <w14:schemeClr w14:val="tx1"/>
            </w14:solidFill>
          </w14:textFill>
        </w:rPr>
        <w:t>的组成部分</w:t>
      </w:r>
      <w:r>
        <w:rPr>
          <w:rFonts w:hint="eastAsia"/>
          <w:color w:val="000000" w:themeColor="text1"/>
          <w14:textFill>
            <w14:solidFill>
              <w14:schemeClr w14:val="tx1"/>
            </w14:solidFill>
          </w14:textFill>
        </w:rPr>
        <w:t>及其他应支付给甲方款项的一部分</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2.转让价款支付方式为：</w:t>
      </w:r>
      <w:r>
        <w:rPr>
          <w:rFonts w:hint="eastAsia"/>
          <w:color w:val="000000" w:themeColor="text1"/>
          <w:u w:val="single"/>
          <w14:textFill>
            <w14:solidFill>
              <w14:schemeClr w14:val="tx1"/>
            </w14:solidFill>
          </w14:textFill>
        </w:rPr>
        <w:t>一次性付款方式</w:t>
      </w:r>
      <w:r>
        <w:rPr>
          <w:rFonts w:hint="eastAsia"/>
          <w:color w:val="000000" w:themeColor="text1"/>
          <w:u w:val="single"/>
          <w:lang w:eastAsia="zh-CN"/>
          <w14:textFill>
            <w14:solidFill>
              <w14:schemeClr w14:val="tx1"/>
            </w14:solidFill>
          </w14:textFill>
        </w:rPr>
        <w:t>，</w:t>
      </w:r>
      <w:r>
        <w:rPr>
          <w:rFonts w:hint="eastAsia"/>
          <w:color w:val="000000" w:themeColor="text1"/>
          <w14:textFill>
            <w14:solidFill>
              <w14:schemeClr w14:val="tx1"/>
            </w14:solidFill>
          </w14:textFill>
        </w:rPr>
        <w:t>乙方</w:t>
      </w:r>
      <w:r>
        <w:rPr>
          <w:rFonts w:hint="eastAsia"/>
          <w:color w:val="000000" w:themeColor="text1"/>
          <w:lang w:val="en-US" w:eastAsia="zh-CN"/>
          <w14:textFill>
            <w14:solidFill>
              <w14:schemeClr w14:val="tx1"/>
            </w14:solidFill>
          </w14:textFill>
        </w:rPr>
        <w:t>应</w:t>
      </w:r>
      <w:r>
        <w:rPr>
          <w:rFonts w:hint="eastAsia"/>
          <w:color w:val="000000" w:themeColor="text1"/>
          <w14:textFill>
            <w14:solidFill>
              <w14:schemeClr w14:val="tx1"/>
            </w14:solidFill>
          </w14:textFill>
        </w:rPr>
        <w:t>在本合同</w:t>
      </w:r>
      <w:r>
        <w:rPr>
          <w:rFonts w:hint="eastAsia"/>
          <w:color w:val="000000" w:themeColor="text1"/>
          <w:lang w:val="en-US" w:eastAsia="zh-CN"/>
          <w14:textFill>
            <w14:solidFill>
              <w14:schemeClr w14:val="tx1"/>
            </w14:solidFill>
          </w14:textFill>
        </w:rPr>
        <w:t>签订</w:t>
      </w:r>
      <w:r>
        <w:rPr>
          <w:rFonts w:hint="eastAsia"/>
          <w:color w:val="000000" w:themeColor="text1"/>
          <w14:textFill>
            <w14:solidFill>
              <w14:schemeClr w14:val="tx1"/>
            </w14:solidFill>
          </w14:textFill>
        </w:rPr>
        <w:t>之日起五个工作日内汇入产权交易中心指定账户（户名：</w:t>
      </w:r>
      <w:r>
        <w:rPr>
          <w:rFonts w:hint="eastAsia"/>
          <w:color w:val="000000" w:themeColor="text1"/>
          <w:u w:val="single"/>
          <w14:textFill>
            <w14:solidFill>
              <w14:schemeClr w14:val="tx1"/>
            </w14:solidFill>
          </w14:textFill>
        </w:rPr>
        <w:t xml:space="preserve">衢州市产权交易中心有限公司 </w:t>
      </w:r>
      <w:r>
        <w:rPr>
          <w:rFonts w:hint="eastAsia"/>
          <w:color w:val="000000" w:themeColor="text1"/>
          <w14:textFill>
            <w14:solidFill>
              <w14:schemeClr w14:val="tx1"/>
            </w14:solidFill>
          </w14:textFill>
        </w:rPr>
        <w:t>，账号：</w:t>
      </w:r>
      <w:r>
        <w:rPr>
          <w:rFonts w:hint="eastAsia"/>
          <w:color w:val="000000" w:themeColor="text1"/>
          <w:u w:val="single"/>
          <w14:textFill>
            <w14:solidFill>
              <w14:schemeClr w14:val="tx1"/>
            </w14:solidFill>
          </w14:textFill>
        </w:rPr>
        <w:t xml:space="preserve">  1209210009049028267 </w:t>
      </w:r>
      <w:r>
        <w:rPr>
          <w:rFonts w:hint="eastAsia"/>
          <w:color w:val="000000" w:themeColor="text1"/>
          <w14:textFill>
            <w14:solidFill>
              <w14:schemeClr w14:val="tx1"/>
            </w14:solidFill>
          </w14:textFill>
        </w:rPr>
        <w:t>，开户行：</w:t>
      </w:r>
      <w:r>
        <w:rPr>
          <w:rFonts w:hint="eastAsia"/>
          <w:color w:val="000000" w:themeColor="text1"/>
          <w:u w:val="single"/>
          <w14:textFill>
            <w14:solidFill>
              <w14:schemeClr w14:val="tx1"/>
            </w14:solidFill>
          </w14:textFill>
        </w:rPr>
        <w:t xml:space="preserve"> 衢州市工行营业部</w:t>
      </w:r>
      <w:r>
        <w:rPr>
          <w:rFonts w:hint="eastAsia"/>
          <w:color w:val="000000" w:themeColor="text1"/>
          <w14:textFill>
            <w14:solidFill>
              <w14:schemeClr w14:val="tx1"/>
            </w14:solidFill>
          </w14:textFill>
        </w:rPr>
        <w:t>）；乙方向产权交易中心的交易资金结算账户支付交易价款的行为，视为乙方履行本合同约定的转让价款的付款义务。</w:t>
      </w:r>
    </w:p>
    <w:p>
      <w:pPr>
        <w:spacing w:line="440" w:lineRule="exact"/>
        <w:ind w:firstLine="420" w:firstLineChars="200"/>
        <w:rPr>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3.转让价款的清算及划转方式为：</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衢州市</w:t>
      </w:r>
      <w:r>
        <w:rPr>
          <w:rFonts w:hint="eastAsia"/>
          <w:color w:val="000000" w:themeColor="text1"/>
          <w14:textFill>
            <w14:solidFill>
              <w14:schemeClr w14:val="tx1"/>
            </w14:solidFill>
          </w14:textFill>
        </w:rPr>
        <w:t>产权交易中心有限公司在收到乙方汇入的</w:t>
      </w:r>
      <w:r>
        <w:rPr>
          <w:rFonts w:hint="eastAsia"/>
          <w:color w:val="000000" w:themeColor="text1"/>
          <w:lang w:val="en-US" w:eastAsia="zh-CN"/>
          <w14:textFill>
            <w14:solidFill>
              <w14:schemeClr w14:val="tx1"/>
            </w14:solidFill>
          </w14:textFill>
        </w:rPr>
        <w:t>全部</w:t>
      </w:r>
      <w:r>
        <w:rPr>
          <w:rFonts w:hint="eastAsia"/>
          <w:color w:val="000000" w:themeColor="text1"/>
          <w14:textFill>
            <w14:solidFill>
              <w14:schemeClr w14:val="tx1"/>
            </w14:solidFill>
          </w14:textFill>
        </w:rPr>
        <w:t>转让价款和服务费之日起5个工作日内，</w:t>
      </w:r>
      <w:r>
        <w:rPr>
          <w:rFonts w:hint="eastAsia" w:ascii="宋体" w:hAnsi="宋体"/>
          <w:color w:val="000000" w:themeColor="text1"/>
          <w14:textFill>
            <w14:solidFill>
              <w14:schemeClr w14:val="tx1"/>
            </w14:solidFill>
          </w14:textFill>
        </w:rPr>
        <w:t>将转让价款中的</w:t>
      </w:r>
      <w:r>
        <w:rPr>
          <w:rFonts w:hint="eastAsia" w:ascii="宋体" w:hAnsi="宋体"/>
          <w:color w:val="000000" w:themeColor="text1"/>
          <w:u w:val="single"/>
          <w14:textFill>
            <w14:solidFill>
              <w14:schemeClr w14:val="tx1"/>
            </w14:solidFill>
          </w14:textFill>
        </w:rPr>
        <w:t>80%</w:t>
      </w:r>
      <w:r>
        <w:rPr>
          <w:rFonts w:hint="eastAsia" w:ascii="宋体" w:hAnsi="宋体"/>
          <w:color w:val="000000" w:themeColor="text1"/>
          <w14:textFill>
            <w14:solidFill>
              <w14:schemeClr w14:val="tx1"/>
            </w14:solidFill>
          </w14:textFill>
        </w:rPr>
        <w:t>划入到甲方指定账户（户名：</w:t>
      </w:r>
      <w:r>
        <w:rPr>
          <w:rFonts w:hint="eastAsia"/>
          <w:color w:val="000000" w:themeColor="text1"/>
          <w:u w:val="single"/>
          <w14:textFill>
            <w14:solidFill>
              <w14:schemeClr w14:val="tx1"/>
            </w14:solidFill>
          </w14:textFill>
        </w:rPr>
        <w:t>龙游县商贸物流发展有限公司</w:t>
      </w:r>
      <w:r>
        <w:rPr>
          <w:rFonts w:hint="eastAsia"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账号：384465300413，开户银行：中国银行龙游县支行</w:t>
      </w:r>
      <w:r>
        <w:rPr>
          <w:rFonts w:hint="eastAsia" w:ascii="宋体" w:hAnsi="宋体"/>
          <w:color w:val="000000" w:themeColor="text1"/>
          <w14:textFill>
            <w14:solidFill>
              <w14:schemeClr w14:val="tx1"/>
            </w14:solidFill>
          </w14:textFill>
        </w:rPr>
        <w:t>），待甲乙双方完成变更过户手续后，衢州市产权交易中心有限公司（凭工商变更凭证或甲乙双方或乙方出具的函告确认材料）将剩余20%的转让价款划入到甲方指定账户。</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4.甲乙双方在合同履行过程中产生争议的，产权交易中心可暂缓合同项下款项和费用的收取或支付等行为，待双方达成书面一致意见或经诉讼、仲裁等生效法律文书作出明确后照其办理。</w:t>
      </w:r>
    </w:p>
    <w:p>
      <w:pPr>
        <w:spacing w:line="440" w:lineRule="exact"/>
        <w:ind w:firstLine="420" w:firstLineChars="200"/>
        <w:rPr>
          <w:color w:val="000000" w:themeColor="text1"/>
          <w:u w:val="single"/>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转让标的的交割事项</w:t>
      </w:r>
      <w:r>
        <w:rPr>
          <w:rFonts w:hint="eastAsia"/>
          <w:color w:val="000000" w:themeColor="text1"/>
          <w14:textFill>
            <w14:solidFill>
              <w14:schemeClr w14:val="tx1"/>
            </w14:solidFill>
          </w14:textFill>
        </w:rPr>
        <w:t>（下列根据实际情况商定）</w:t>
      </w:r>
    </w:p>
    <w:p>
      <w:pPr>
        <w:spacing w:line="440" w:lineRule="exact"/>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1.甲、乙双方应履行或协助履行向审批机关申报的义务，并尽最大努力，配合处理任何审批机关提出的合理要求和质询，以获得审批机关对本合同及其项下产权交易的批准。</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2.产权交易中心在收到乙方打入的全部转让价款和全部服务费之日</w:t>
      </w:r>
      <w:r>
        <w:rPr>
          <w:rFonts w:hint="eastAsia" w:ascii="宋体" w:hAnsi="宋体"/>
          <w:color w:val="000000" w:themeColor="text1"/>
          <w14:textFill>
            <w14:solidFill>
              <w14:schemeClr w14:val="tx1"/>
            </w14:solidFill>
          </w14:textFill>
        </w:rPr>
        <w:t>起</w:t>
      </w:r>
      <w:r>
        <w:rPr>
          <w:rFonts w:hint="eastAsia" w:ascii="宋体" w:hAnsi="宋体"/>
          <w:color w:val="000000" w:themeColor="text1"/>
          <w:u w:val="single"/>
          <w14:textFill>
            <w14:solidFill>
              <w14:schemeClr w14:val="tx1"/>
            </w14:solidFill>
          </w14:textFill>
        </w:rPr>
        <w:t>3</w:t>
      </w:r>
      <w:r>
        <w:rPr>
          <w:rFonts w:hint="eastAsia" w:ascii="宋体" w:hAnsi="宋体"/>
          <w:color w:val="000000" w:themeColor="text1"/>
          <w14:textFill>
            <w14:solidFill>
              <w14:schemeClr w14:val="tx1"/>
            </w14:solidFill>
          </w14:textFill>
        </w:rPr>
        <w:t>个工作日内，向甲乙双方出具产权交易凭证。</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3.本合同项下的产权交易获得产权交易中心出具的产权</w:t>
      </w:r>
      <w:r>
        <w:rPr>
          <w:color w:val="000000" w:themeColor="text1"/>
          <w14:textFill>
            <w14:solidFill>
              <w14:schemeClr w14:val="tx1"/>
            </w14:solidFill>
          </w14:textFill>
        </w:rPr>
        <w:t>交易凭证</w:t>
      </w:r>
      <w:r>
        <w:rPr>
          <w:rFonts w:hint="eastAsia"/>
          <w:color w:val="000000" w:themeColor="text1"/>
          <w14:textFill>
            <w14:solidFill>
              <w14:schemeClr w14:val="tx1"/>
            </w14:solidFill>
          </w14:textFill>
        </w:rPr>
        <w:t>后</w:t>
      </w:r>
      <w:r>
        <w:rPr>
          <w:rFonts w:hint="eastAsia"/>
          <w:color w:val="000000" w:themeColor="text1"/>
          <w:u w:val="single"/>
          <w14:textFill>
            <w14:solidFill>
              <w14:schemeClr w14:val="tx1"/>
            </w14:solidFill>
          </w14:textFill>
        </w:rPr>
        <w:t xml:space="preserve"> 10 </w:t>
      </w:r>
      <w:r>
        <w:rPr>
          <w:rFonts w:hint="eastAsia"/>
          <w:color w:val="000000" w:themeColor="text1"/>
          <w14:textFill>
            <w14:solidFill>
              <w14:schemeClr w14:val="tx1"/>
            </w14:solidFill>
          </w14:textFill>
        </w:rPr>
        <w:t>个工作日</w:t>
      </w:r>
      <w:r>
        <w:rPr>
          <w:rFonts w:hint="eastAsia"/>
          <w:color w:val="000000" w:themeColor="text1"/>
          <w14:textFill>
            <w14:solidFill>
              <w14:schemeClr w14:val="tx1"/>
            </w14:solidFill>
          </w14:textFill>
        </w:rPr>
        <w:t>内，甲方应促使标的企业到登记机关办理标的企业的股权变更登记手续，乙方应给予必要的协助与配合。登记机关办理完毕股权变更登记手续之日，视为产权交易完成之日（</w:t>
      </w:r>
      <w:r>
        <w:rPr>
          <w:rFonts w:hint="eastAsia"/>
          <w:color w:val="000000" w:themeColor="text1"/>
          <w14:textFill>
            <w14:solidFill>
              <w14:schemeClr w14:val="tx1"/>
            </w14:solidFill>
          </w14:textFill>
        </w:rPr>
        <w:t>下称“交割日”</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4.产权交易完成后</w:t>
      </w:r>
      <w:r>
        <w:rPr>
          <w:rFonts w:hint="eastAsia"/>
          <w:color w:val="000000" w:themeColor="text1"/>
          <w:u w:val="single"/>
          <w14:textFill>
            <w14:solidFill>
              <w14:schemeClr w14:val="tx1"/>
            </w14:solidFill>
          </w14:textFill>
        </w:rPr>
        <w:t xml:space="preserve">  10 </w:t>
      </w:r>
      <w:r>
        <w:rPr>
          <w:rFonts w:hint="eastAsia"/>
          <w:color w:val="000000" w:themeColor="text1"/>
          <w14:textFill>
            <w14:solidFill>
              <w14:schemeClr w14:val="tx1"/>
            </w14:solidFill>
          </w14:textFill>
        </w:rPr>
        <w:t>日内</w:t>
      </w:r>
      <w:r>
        <w:rPr>
          <w:rFonts w:hint="eastAsia"/>
          <w:color w:val="000000" w:themeColor="text1"/>
          <w14:textFill>
            <w14:solidFill>
              <w14:schemeClr w14:val="tx1"/>
            </w14:solidFill>
          </w14:textFill>
        </w:rPr>
        <w:t>，双方应商定具体日期、地点，办理有关产权转让材料的交割事项。甲方将与转让标的相关的权属证书、批件、财务报表、资产清单、经济法律文书、文秘人事档案等文件资料编制《财产及资料清单》移交给乙方，由乙方核验查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5.甲方对其提供的上述表册的完整性、真实性以及所提供表册与对应的转让标的一致性负责，并承担因恶意隐瞒、虚报而给</w:t>
      </w:r>
      <w:r>
        <w:rPr>
          <w:color w:val="000000" w:themeColor="text1"/>
          <w14:textFill>
            <w14:solidFill>
              <w14:schemeClr w14:val="tx1"/>
            </w14:solidFill>
          </w14:textFill>
        </w:rPr>
        <w:t>乙方造成经济损失</w:t>
      </w:r>
      <w:r>
        <w:rPr>
          <w:rFonts w:hint="eastAsia"/>
          <w:color w:val="000000" w:themeColor="text1"/>
          <w14:textFill>
            <w14:solidFill>
              <w14:schemeClr w14:val="tx1"/>
            </w14:solidFill>
          </w14:textFill>
        </w:rPr>
        <w:t>的法律责任。</w:t>
      </w:r>
    </w:p>
    <w:p>
      <w:pPr>
        <w:spacing w:line="440" w:lineRule="exact"/>
        <w:ind w:firstLine="420" w:firstLineChars="200"/>
        <w:rPr>
          <w:rFonts w:hint="default" w:eastAsia="宋体"/>
          <w:color w:val="000000" w:themeColor="text1"/>
          <w:highlight w:val="yellow"/>
          <w:lang w:val="en-US" w:eastAsia="zh-CN"/>
          <w14:textFill>
            <w14:solidFill>
              <w14:schemeClr w14:val="tx1"/>
            </w14:solidFill>
          </w14:textFill>
        </w:rPr>
      </w:pPr>
      <w:r>
        <w:rPr>
          <w:rFonts w:hint="eastAsia"/>
          <w:color w:val="000000" w:themeColor="text1"/>
          <w14:textFill>
            <w14:solidFill>
              <w14:schemeClr w14:val="tx1"/>
            </w14:solidFill>
          </w14:textFill>
        </w:rPr>
        <w:t>6.</w:t>
      </w:r>
      <w:r>
        <w:rPr>
          <w:rFonts w:hint="eastAsia"/>
          <w:color w:val="000000" w:themeColor="text1"/>
          <w:lang w:val="en-US" w:eastAsia="zh-CN"/>
          <w14:textFill>
            <w14:solidFill>
              <w14:schemeClr w14:val="tx1"/>
            </w14:solidFill>
          </w14:textFill>
        </w:rPr>
        <w:t>双</w:t>
      </w:r>
      <w:r>
        <w:rPr>
          <w:rFonts w:hint="eastAsia"/>
          <w:color w:val="000000" w:themeColor="text1"/>
          <w14:textFill>
            <w14:solidFill>
              <w14:schemeClr w14:val="tx1"/>
            </w14:solidFill>
          </w14:textFill>
        </w:rPr>
        <w:t>方应在上述约定的期限内，</w:t>
      </w:r>
      <w:r>
        <w:rPr>
          <w:rFonts w:hint="eastAsia"/>
          <w:color w:val="000000" w:themeColor="text1"/>
          <w:lang w:val="en-US" w:eastAsia="zh-CN"/>
          <w14:textFill>
            <w14:solidFill>
              <w14:schemeClr w14:val="tx1"/>
            </w14:solidFill>
          </w14:textFill>
        </w:rPr>
        <w:t>自行协商变更公司营业执照、公司章程、组织架构，由新的董事会对标的企业进行决策和管理。</w:t>
      </w:r>
    </w:p>
    <w:p>
      <w:pPr>
        <w:spacing w:line="44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7.其它约定：</w:t>
      </w:r>
      <w:r>
        <w:rPr>
          <w:rFonts w:hint="eastAsia"/>
          <w:color w:val="000000" w:themeColor="text1"/>
          <w:u w:val="single"/>
          <w:lang w:val="en-US" w:eastAsia="zh-CN"/>
          <w14:textFill>
            <w14:solidFill>
              <w14:schemeClr w14:val="tx1"/>
            </w14:solidFill>
          </w14:textFill>
        </w:rPr>
        <w:t>无</w:t>
      </w:r>
      <w:r>
        <w:rPr>
          <w:rFonts w:hint="eastAsia"/>
          <w:color w:val="000000" w:themeColor="text1"/>
          <w14:textFill>
            <w14:solidFill>
              <w14:schemeClr w14:val="tx1"/>
            </w14:solidFill>
          </w14:textFill>
        </w:rPr>
        <w:t>。</w:t>
      </w:r>
    </w:p>
    <w:p>
      <w:pPr>
        <w:spacing w:line="440" w:lineRule="exact"/>
        <w:ind w:left="454"/>
        <w:rPr>
          <w:color w:val="000000" w:themeColor="text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过渡期安排</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1.本合同过渡期内，甲方对标的企业及其资产负有谨慎、善意管理义务。甲方应保证和促使标的企业的正常经营，过渡期内标的企业出现的任何重大不利影响，甲方应及时通知乙方并作出妥善处理。</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2.本合同过渡期内，甲方及标的企业保证不得使标的企业承担《资产评估报告书》之外的负债或义务，不得转让或放弃权利，不得对标的企业的资产做任何贬损处置。但标的企业进行正常经营的除外，</w:t>
      </w:r>
      <w:r>
        <w:rPr>
          <w:rFonts w:hint="eastAsia"/>
          <w:color w:val="000000" w:themeColor="text1"/>
          <w14:textFill>
            <w14:solidFill>
              <w14:schemeClr w14:val="tx1"/>
            </w14:solidFill>
          </w14:textFill>
        </w:rPr>
        <w:t>过渡期内标的企业的损益，经中介机构审计确认后由</w:t>
      </w:r>
      <w:r>
        <w:rPr>
          <w:rFonts w:hint="eastAsia"/>
          <w:color w:val="000000" w:themeColor="text1"/>
          <w:lang w:val="en-US" w:eastAsia="zh-CN"/>
          <w14:textFill>
            <w14:solidFill>
              <w14:schemeClr w14:val="tx1"/>
            </w14:solidFill>
          </w14:textFill>
        </w:rPr>
        <w:t>双</w:t>
      </w:r>
      <w:r>
        <w:rPr>
          <w:rFonts w:hint="eastAsia"/>
          <w:color w:val="000000" w:themeColor="text1"/>
          <w14:textFill>
            <w14:solidFill>
              <w14:schemeClr w14:val="tx1"/>
            </w14:solidFill>
          </w14:textFill>
        </w:rPr>
        <w:t>方</w:t>
      </w:r>
      <w:r>
        <w:rPr>
          <w:rFonts w:hint="eastAsia"/>
          <w:color w:val="000000" w:themeColor="text1"/>
          <w:lang w:val="en-US" w:eastAsia="zh-CN"/>
          <w14:textFill>
            <w14:solidFill>
              <w14:schemeClr w14:val="tx1"/>
            </w14:solidFill>
          </w14:textFill>
        </w:rPr>
        <w:t>按各自股权比例</w:t>
      </w:r>
      <w:r>
        <w:rPr>
          <w:rFonts w:hint="eastAsia"/>
          <w:color w:val="000000" w:themeColor="text1"/>
          <w14:textFill>
            <w14:solidFill>
              <w14:schemeClr w14:val="tx1"/>
            </w14:solidFill>
          </w14:textFill>
        </w:rPr>
        <w:t>享有或承担。</w:t>
      </w:r>
    </w:p>
    <w:p>
      <w:pPr>
        <w:spacing w:line="440" w:lineRule="exact"/>
        <w:ind w:left="454"/>
        <w:rPr>
          <w:rFonts w:ascii="宋体" w:hAnsi="宋体"/>
          <w:color w:val="000000" w:themeColor="text1"/>
          <w:szCs w:val="21"/>
          <w14:textFill>
            <w14:solidFill>
              <w14:schemeClr w14:val="tx1"/>
            </w14:solidFill>
          </w14:textFill>
        </w:rPr>
      </w:pPr>
    </w:p>
    <w:p>
      <w:pPr>
        <w:numPr>
          <w:ilvl w:val="0"/>
          <w:numId w:val="19"/>
        </w:numPr>
        <w:spacing w:line="440" w:lineRule="exact"/>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产权交易费用的承担</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在本合同项下产权交易过程中所产生的产权交易费用，包括产权变更、过户等相关税费及其他费用，</w:t>
      </w:r>
      <w:r>
        <w:rPr>
          <w:rFonts w:hint="eastAsia"/>
          <w:color w:val="000000" w:themeColor="text1"/>
          <w14:textFill>
            <w14:solidFill>
              <w14:schemeClr w14:val="tx1"/>
            </w14:solidFill>
          </w14:textFill>
        </w:rPr>
        <w:t>由甲乙双方按国家有关规定各自承担并自行办理有关事宜</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14:textFill>
            <w14:solidFill>
              <w14:schemeClr w14:val="tx1"/>
            </w14:solidFill>
          </w14:textFill>
        </w:rPr>
      </w:pPr>
    </w:p>
    <w:p>
      <w:pPr>
        <w:numPr>
          <w:ilvl w:val="0"/>
          <w:numId w:val="19"/>
        </w:numPr>
        <w:spacing w:line="440" w:lineRule="exact"/>
        <w:rPr>
          <w:b/>
          <w:bCs/>
          <w:color w:val="000000" w:themeColor="text1"/>
          <w:u w:val="single"/>
          <w14:textFill>
            <w14:solidFill>
              <w14:schemeClr w14:val="tx1"/>
            </w14:solidFill>
          </w14:textFill>
        </w:rPr>
      </w:pPr>
      <w:r>
        <w:rPr>
          <w:rFonts w:hint="eastAsia"/>
          <w:b/>
          <w:bCs/>
          <w:color w:val="000000" w:themeColor="text1"/>
          <w14:textFill>
            <w14:solidFill>
              <w14:schemeClr w14:val="tx1"/>
            </w14:solidFill>
          </w14:textFill>
        </w:rPr>
        <w:t>标的企业涉及的职工安置方案为：</w:t>
      </w:r>
      <w:r>
        <w:rPr>
          <w:rFonts w:hint="eastAsia"/>
          <w:bCs/>
          <w:color w:val="000000" w:themeColor="text1"/>
          <w:szCs w:val="21"/>
          <w:u w:val="single"/>
          <w14:textFill>
            <w14:solidFill>
              <w14:schemeClr w14:val="tx1"/>
            </w14:solidFill>
          </w14:textFill>
        </w:rPr>
        <w:t>4</w:t>
      </w:r>
      <w:r>
        <w:rPr>
          <w:rFonts w:hint="eastAsia"/>
          <w:color w:val="000000" w:themeColor="text1"/>
          <w14:textFill>
            <w14:solidFill>
              <w14:schemeClr w14:val="tx1"/>
            </w14:solidFill>
          </w14:textFill>
        </w:rPr>
        <w:t>（下列根据实际情况确定）</w:t>
      </w:r>
    </w:p>
    <w:p>
      <w:pPr>
        <w:spacing w:line="440" w:lineRule="exact"/>
        <w:ind w:left="1140"/>
        <w:rPr>
          <w:color w:val="000000" w:themeColor="text1"/>
          <w14:textFill>
            <w14:solidFill>
              <w14:schemeClr w14:val="tx1"/>
            </w14:solidFill>
          </w14:textFill>
        </w:rPr>
      </w:pPr>
      <w:r>
        <w:rPr>
          <w:rFonts w:hint="eastAsia"/>
          <w:color w:val="000000" w:themeColor="text1"/>
          <w14:textFill>
            <w14:solidFill>
              <w14:schemeClr w14:val="tx1"/>
            </w14:solidFill>
          </w14:textFill>
        </w:rPr>
        <w:t>标的企业职工情况：</w:t>
      </w:r>
    </w:p>
    <w:p>
      <w:pPr>
        <w:spacing w:line="440" w:lineRule="exact"/>
        <w:ind w:left="1140"/>
        <w:rPr>
          <w:color w:val="000000" w:themeColor="text1"/>
          <w14:textFill>
            <w14:solidFill>
              <w14:schemeClr w14:val="tx1"/>
            </w14:solidFill>
          </w14:textFill>
        </w:rPr>
      </w:pPr>
      <w:r>
        <w:rPr>
          <w:rFonts w:hint="eastAsia"/>
          <w:color w:val="000000" w:themeColor="text1"/>
          <w14:textFill>
            <w14:solidFill>
              <w14:schemeClr w14:val="tx1"/>
            </w14:solidFill>
          </w14:textFill>
        </w:rPr>
        <w:t>在职职工：</w:t>
      </w:r>
      <w:r>
        <w:rPr>
          <w:rFonts w:hint="eastAsia"/>
          <w:color w:val="000000" w:themeColor="text1"/>
          <w14:textFill>
            <w14:solidFill>
              <w14:schemeClr w14:val="tx1"/>
            </w14:solidFill>
          </w14:textFill>
        </w:rPr>
        <w:t>6人（兼职）</w:t>
      </w:r>
    </w:p>
    <w:p>
      <w:pPr>
        <w:spacing w:line="440" w:lineRule="exact"/>
        <w:ind w:left="1140"/>
        <w:rPr>
          <w:b/>
          <w:bCs/>
          <w:color w:val="000000" w:themeColor="text1"/>
          <w:u w:val="single"/>
          <w14:textFill>
            <w14:solidFill>
              <w14:schemeClr w14:val="tx1"/>
            </w14:solidFill>
          </w14:textFill>
        </w:rPr>
      </w:pPr>
      <w:r>
        <w:rPr>
          <w:rFonts w:hint="eastAsia"/>
          <w:color w:val="000000" w:themeColor="text1"/>
          <w14:textFill>
            <w14:solidFill>
              <w14:schemeClr w14:val="tx1"/>
            </w14:solidFill>
          </w14:textFill>
        </w:rPr>
        <w:t>离退休职工：无</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1.乙方负责安置标的企业的（在职/离退休）职工。（整体或控制权转让时选用）</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2.乙方应协助标的企业现有其他股东安置 （在职/离退休）职工（非控</w:t>
      </w:r>
    </w:p>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制权转让时选用）</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3.甲方负责安置</w:t>
      </w:r>
      <w:r>
        <w:rPr>
          <w:rFonts w:hint="eastAsia"/>
          <w:b/>
          <w:bCs/>
          <w:color w:val="000000" w:themeColor="text1"/>
          <w14:textFill>
            <w14:solidFill>
              <w14:schemeClr w14:val="tx1"/>
            </w14:solidFill>
          </w14:textFill>
        </w:rPr>
        <w:t>标的企业</w:t>
      </w:r>
      <w:r>
        <w:rPr>
          <w:rFonts w:hint="eastAsia"/>
          <w:color w:val="000000" w:themeColor="text1"/>
          <w14:textFill>
            <w14:solidFill>
              <w14:schemeClr w14:val="tx1"/>
            </w14:solidFill>
          </w14:textFill>
        </w:rPr>
        <w:t>的（在职/离退休）职工。</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4.其他</w:t>
      </w:r>
      <w:r>
        <w:rPr>
          <w:rFonts w:hint="eastAsia"/>
          <w:color w:val="000000" w:themeColor="text1"/>
          <w:u w:val="single"/>
          <w14:textFill>
            <w14:solidFill>
              <w14:schemeClr w14:val="tx1"/>
            </w14:solidFill>
          </w14:textFill>
        </w:rPr>
        <w:t xml:space="preserve">：乙方不承担安置职工义务。                                                     </w:t>
      </w:r>
    </w:p>
    <w:p>
      <w:pPr>
        <w:spacing w:line="440" w:lineRule="exact"/>
        <w:ind w:left="454"/>
        <w:rPr>
          <w:color w:val="000000" w:themeColor="text1"/>
          <w14:textFill>
            <w14:solidFill>
              <w14:schemeClr w14:val="tx1"/>
            </w14:solidFill>
          </w14:textFill>
        </w:rPr>
      </w:pPr>
    </w:p>
    <w:p>
      <w:pPr>
        <w:numPr>
          <w:ilvl w:val="0"/>
          <w:numId w:val="19"/>
        </w:numPr>
        <w:spacing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标的企业涉及的债权、债务处理方案</w:t>
      </w:r>
    </w:p>
    <w:p>
      <w:pPr>
        <w:spacing w:line="440" w:lineRule="exact"/>
        <w:ind w:firstLine="420" w:firstLineChars="200"/>
        <w:jc w:val="left"/>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根据《资产评估报告书》，截至2019年7月31日，标的企业欠甲方</w:t>
      </w:r>
      <w:r>
        <w:rPr>
          <w:rFonts w:hint="eastAsia"/>
          <w:color w:val="000000" w:themeColor="text1"/>
          <w:highlight w:val="none"/>
          <w:lang w:val="en-US" w:eastAsia="zh-CN"/>
          <w14:textFill>
            <w14:solidFill>
              <w14:schemeClr w14:val="tx1"/>
            </w14:solidFill>
          </w14:textFill>
        </w:rPr>
        <w:t>及其他关联方</w:t>
      </w:r>
      <w:r>
        <w:rPr>
          <w:rFonts w:hint="eastAsia"/>
          <w:color w:val="000000" w:themeColor="text1"/>
          <w:highlight w:val="none"/>
          <w14:textFill>
            <w14:solidFill>
              <w14:schemeClr w14:val="tx1"/>
            </w14:solidFill>
          </w14:textFill>
        </w:rPr>
        <w:t>债务为3010万元（</w:t>
      </w:r>
      <w:r>
        <w:rPr>
          <w:rFonts w:hint="eastAsia"/>
          <w:color w:val="000000" w:themeColor="text1"/>
          <w:highlight w:val="none"/>
          <w:lang w:val="en-US" w:eastAsia="zh-CN"/>
          <w14:textFill>
            <w14:solidFill>
              <w14:schemeClr w14:val="tx1"/>
            </w14:solidFill>
          </w14:textFill>
        </w:rPr>
        <w:t>不含利息</w:t>
      </w:r>
      <w:r>
        <w:rPr>
          <w:rFonts w:hint="eastAsia"/>
          <w:color w:val="000000" w:themeColor="text1"/>
          <w:highlight w:val="none"/>
          <w14:textFill>
            <w14:solidFill>
              <w14:schemeClr w14:val="tx1"/>
            </w14:solidFill>
          </w14:textFill>
        </w:rPr>
        <w:t>），由本次产权交易转让完成后的标的企业承继，并且乙方自愿为标的企业履行付款义务向甲方</w:t>
      </w:r>
      <w:r>
        <w:rPr>
          <w:rFonts w:hint="eastAsia"/>
          <w:color w:val="000000" w:themeColor="text1"/>
          <w:highlight w:val="none"/>
          <w:lang w:val="en-US" w:eastAsia="zh-CN"/>
          <w14:textFill>
            <w14:solidFill>
              <w14:schemeClr w14:val="tx1"/>
            </w14:solidFill>
          </w14:textFill>
        </w:rPr>
        <w:t>及其他关联方</w:t>
      </w:r>
      <w:r>
        <w:rPr>
          <w:rFonts w:hint="eastAsia"/>
          <w:color w:val="000000" w:themeColor="text1"/>
          <w:highlight w:val="none"/>
          <w14:textFill>
            <w14:solidFill>
              <w14:schemeClr w14:val="tx1"/>
            </w14:solidFill>
          </w14:textFill>
        </w:rPr>
        <w:t>承担连带保证责任，保证范围包括但不限于标的企业欠甲方</w:t>
      </w:r>
      <w:r>
        <w:rPr>
          <w:rFonts w:hint="eastAsia"/>
          <w:color w:val="000000" w:themeColor="text1"/>
          <w:highlight w:val="none"/>
          <w:lang w:val="en-US" w:eastAsia="zh-CN"/>
          <w14:textFill>
            <w14:solidFill>
              <w14:schemeClr w14:val="tx1"/>
            </w14:solidFill>
          </w14:textFill>
        </w:rPr>
        <w:t>及其他关联方</w:t>
      </w:r>
      <w:r>
        <w:rPr>
          <w:rFonts w:hint="eastAsia"/>
          <w:color w:val="000000" w:themeColor="text1"/>
          <w:highlight w:val="none"/>
          <w14:textFill>
            <w14:solidFill>
              <w14:schemeClr w14:val="tx1"/>
            </w14:solidFill>
          </w14:textFill>
        </w:rPr>
        <w:t>的全部债务60%、违约金以及甲方为实现本合同项下债权所支付的律师费、诉讼费等费用。</w:t>
      </w:r>
    </w:p>
    <w:p>
      <w:pPr>
        <w:spacing w:line="440" w:lineRule="exact"/>
        <w:ind w:firstLine="42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上述债务及其自借款起始日至本合同签订日期间产生的利息（按借款合同约定的年利5.88%）之和（下称“全部债务”），</w:t>
      </w:r>
      <w:r>
        <w:rPr>
          <w:rFonts w:hint="eastAsia"/>
          <w:color w:val="000000" w:themeColor="text1"/>
          <w:highlight w:val="none"/>
          <w14:textFill>
            <w14:solidFill>
              <w14:schemeClr w14:val="tx1"/>
            </w14:solidFill>
          </w14:textFill>
        </w:rPr>
        <w:t>乙方应在本合同</w:t>
      </w:r>
      <w:r>
        <w:rPr>
          <w:rFonts w:hint="eastAsia"/>
          <w:color w:val="000000" w:themeColor="text1"/>
          <w:highlight w:val="none"/>
          <w:lang w:val="en-US" w:eastAsia="zh-CN"/>
          <w14:textFill>
            <w14:solidFill>
              <w14:schemeClr w14:val="tx1"/>
            </w14:solidFill>
          </w14:textFill>
        </w:rPr>
        <w:t>签订</w:t>
      </w:r>
      <w:r>
        <w:rPr>
          <w:rFonts w:hint="eastAsia"/>
          <w:color w:val="000000" w:themeColor="text1"/>
          <w:highlight w:val="none"/>
          <w14:textFill>
            <w14:solidFill>
              <w14:schemeClr w14:val="tx1"/>
            </w14:solidFill>
          </w14:textFill>
        </w:rPr>
        <w:t>之日起五个工作日内将上述</w:t>
      </w:r>
      <w:r>
        <w:rPr>
          <w:rFonts w:hint="eastAsia"/>
          <w:color w:val="000000" w:themeColor="text1"/>
          <w:highlight w:val="none"/>
          <w:lang w:val="en-US" w:eastAsia="zh-CN"/>
          <w14:textFill>
            <w14:solidFill>
              <w14:schemeClr w14:val="tx1"/>
            </w14:solidFill>
          </w14:textFill>
        </w:rPr>
        <w:t>全部</w:t>
      </w:r>
      <w:r>
        <w:rPr>
          <w:rFonts w:hint="eastAsia"/>
          <w:color w:val="000000" w:themeColor="text1"/>
          <w:highlight w:val="none"/>
          <w14:textFill>
            <w14:solidFill>
              <w14:schemeClr w14:val="tx1"/>
            </w14:solidFill>
          </w14:textFill>
        </w:rPr>
        <w:t>债务汇入产权交易中心指定账户（户名：</w:t>
      </w:r>
      <w:r>
        <w:rPr>
          <w:rFonts w:hint="eastAsia"/>
          <w:color w:val="000000" w:themeColor="text1"/>
          <w:highlight w:val="none"/>
          <w:u w:val="single"/>
          <w14:textFill>
            <w14:solidFill>
              <w14:schemeClr w14:val="tx1"/>
            </w14:solidFill>
          </w14:textFill>
        </w:rPr>
        <w:t xml:space="preserve">衢州市产权交易中心有限公司 </w:t>
      </w:r>
      <w:r>
        <w:rPr>
          <w:rFonts w:hint="eastAsia"/>
          <w:color w:val="000000" w:themeColor="text1"/>
          <w:highlight w:val="none"/>
          <w14:textFill>
            <w14:solidFill>
              <w14:schemeClr w14:val="tx1"/>
            </w14:solidFill>
          </w14:textFill>
        </w:rPr>
        <w:t>，账号：</w:t>
      </w:r>
      <w:r>
        <w:rPr>
          <w:rFonts w:hint="eastAsia"/>
          <w:color w:val="000000" w:themeColor="text1"/>
          <w:highlight w:val="none"/>
          <w:u w:val="single"/>
          <w14:textFill>
            <w14:solidFill>
              <w14:schemeClr w14:val="tx1"/>
            </w14:solidFill>
          </w14:textFill>
        </w:rPr>
        <w:t xml:space="preserve">1209210009049028267 </w:t>
      </w:r>
      <w:r>
        <w:rPr>
          <w:rFonts w:hint="eastAsia"/>
          <w:color w:val="000000" w:themeColor="text1"/>
          <w:highlight w:val="none"/>
          <w14:textFill>
            <w14:solidFill>
              <w14:schemeClr w14:val="tx1"/>
            </w14:solidFill>
          </w14:textFill>
        </w:rPr>
        <w:t>，开户行：</w:t>
      </w:r>
      <w:r>
        <w:rPr>
          <w:rFonts w:hint="eastAsia"/>
          <w:color w:val="000000" w:themeColor="text1"/>
          <w:highlight w:val="none"/>
          <w:u w:val="single"/>
          <w14:textFill>
            <w14:solidFill>
              <w14:schemeClr w14:val="tx1"/>
            </w14:solidFill>
          </w14:textFill>
        </w:rPr>
        <w:t xml:space="preserve"> 衢州市工行营业部</w:t>
      </w:r>
      <w:r>
        <w:rPr>
          <w:rFonts w:hint="eastAsia"/>
          <w:color w:val="000000" w:themeColor="text1"/>
          <w:highlight w:val="none"/>
          <w14:textFill>
            <w14:solidFill>
              <w14:schemeClr w14:val="tx1"/>
            </w14:solidFill>
          </w14:textFill>
        </w:rPr>
        <w:t>）；乙方对标的企业以上的全部债务的60%负有连带责任。</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14:textFill>
            <w14:solidFill>
              <w14:schemeClr w14:val="tx1"/>
            </w14:solidFill>
          </w14:textFill>
        </w:rPr>
        <w:t>《资产评估报告书》中未披露的债务，无论是甲方或标的企业过失遗漏还是故意隐瞒，均应由甲方自行承担。</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4.甲乙双方另有以下约定的，从其约定：</w:t>
      </w:r>
      <w:r>
        <w:rPr>
          <w:rFonts w:hint="eastAsia"/>
          <w:color w:val="000000" w:themeColor="text1"/>
          <w:u w:val="single"/>
          <w14:textFill>
            <w14:solidFill>
              <w14:schemeClr w14:val="tx1"/>
            </w14:solidFill>
          </w14:textFill>
        </w:rPr>
        <w:t>股权转让完成之后乙方依法、</w:t>
      </w:r>
      <w:r>
        <w:rPr>
          <w:color w:val="000000" w:themeColor="text1"/>
          <w:u w:val="single"/>
          <w14:textFill>
            <w14:solidFill>
              <w14:schemeClr w14:val="tx1"/>
            </w14:solidFill>
          </w14:textFill>
        </w:rPr>
        <w:t>依约</w:t>
      </w:r>
      <w:r>
        <w:rPr>
          <w:rFonts w:hint="eastAsia"/>
          <w:color w:val="000000" w:themeColor="text1"/>
          <w:u w:val="single"/>
          <w14:textFill>
            <w14:solidFill>
              <w14:schemeClr w14:val="tx1"/>
            </w14:solidFill>
          </w14:textFill>
        </w:rPr>
        <w:t xml:space="preserve">享有对标的企业的权利并承担相应义务 </w:t>
      </w:r>
      <w:r>
        <w:rPr>
          <w:rFonts w:hint="eastAsia"/>
          <w:color w:val="000000" w:themeColor="text1"/>
          <w14:textFill>
            <w14:solidFill>
              <w14:schemeClr w14:val="tx1"/>
            </w14:solidFill>
          </w14:textFill>
        </w:rPr>
        <w:t>。</w:t>
      </w:r>
    </w:p>
    <w:p>
      <w:pPr>
        <w:spacing w:line="440" w:lineRule="exact"/>
        <w:ind w:left="454"/>
        <w:rPr>
          <w:color w:val="000000" w:themeColor="text1"/>
          <w14:textFill>
            <w14:solidFill>
              <w14:schemeClr w14:val="tx1"/>
            </w14:solidFill>
          </w14:textFill>
        </w:rPr>
      </w:pPr>
    </w:p>
    <w:p>
      <w:pPr>
        <w:numPr>
          <w:ilvl w:val="0"/>
          <w:numId w:val="19"/>
        </w:numPr>
        <w:spacing w:line="440" w:lineRule="exact"/>
        <w:rPr>
          <w:color w:val="000000" w:themeColor="text1"/>
          <w14:textFill>
            <w14:solidFill>
              <w14:schemeClr w14:val="tx1"/>
            </w14:solidFill>
          </w14:textFill>
        </w:rPr>
      </w:pPr>
      <w:r>
        <w:rPr>
          <w:rFonts w:hint="eastAsia"/>
          <w:b/>
          <w:bCs/>
          <w:color w:val="000000" w:themeColor="text1"/>
          <w14:textFill>
            <w14:solidFill>
              <w14:schemeClr w14:val="tx1"/>
            </w14:solidFill>
          </w14:textFill>
        </w:rPr>
        <w:t>甲方的声明、保证和承诺</w:t>
      </w:r>
    </w:p>
    <w:p>
      <w:pPr>
        <w:spacing w:line="440" w:lineRule="exact"/>
        <w:ind w:firstLine="420" w:firstLineChars="200"/>
        <w:rPr>
          <w:color w:val="000000" w:themeColor="text1"/>
          <w:u w:val="none"/>
          <w14:textFill>
            <w14:solidFill>
              <w14:schemeClr w14:val="tx1"/>
            </w14:solidFill>
          </w14:textFill>
        </w:rPr>
      </w:pPr>
      <w:r>
        <w:rPr>
          <w:rFonts w:hint="eastAsia"/>
          <w:color w:val="000000" w:themeColor="text1"/>
          <w14:textFill>
            <w14:solidFill>
              <w14:schemeClr w14:val="tx1"/>
            </w14:solidFill>
          </w14:textFill>
        </w:rPr>
        <w:t>1.甲方对转让标的拥有合法、有效和完整的处分权；标的企业已取</w:t>
      </w:r>
      <w:r>
        <w:rPr>
          <w:rFonts w:hint="eastAsia"/>
          <w:color w:val="000000" w:themeColor="text1"/>
          <w14:textFill>
            <w14:solidFill>
              <w14:schemeClr w14:val="tx1"/>
            </w14:solidFill>
          </w14:textFill>
        </w:rPr>
        <w:t>得</w:t>
      </w:r>
      <w:r>
        <w:rPr>
          <w:rFonts w:hint="eastAsia"/>
          <w:color w:val="000000" w:themeColor="text1"/>
          <w:u w:val="single"/>
          <w14:textFill>
            <w14:solidFill>
              <w14:schemeClr w14:val="tx1"/>
            </w14:solidFill>
          </w14:textFill>
        </w:rPr>
        <w:t>龙游农批市场</w:t>
      </w:r>
      <w:r>
        <w:rPr>
          <w:rFonts w:hint="eastAsia"/>
          <w:color w:val="000000" w:themeColor="text1"/>
          <w:u w:val="single"/>
          <w14:textFill>
            <w14:solidFill>
              <w14:schemeClr w14:val="tx1"/>
            </w14:solidFill>
          </w14:textFill>
        </w:rPr>
        <w:t>地</w:t>
      </w:r>
      <w:r>
        <w:rPr>
          <w:rFonts w:hint="eastAsia"/>
          <w:color w:val="000000" w:themeColor="text1"/>
          <w:u w:val="single"/>
          <w14:textFill>
            <w14:solidFill>
              <w14:schemeClr w14:val="tx1"/>
            </w14:solidFill>
          </w14:textFill>
        </w:rPr>
        <w:t>块</w:t>
      </w:r>
      <w:r>
        <w:rPr>
          <w:rFonts w:hint="eastAsia"/>
          <w:color w:val="000000" w:themeColor="text1"/>
          <w:u w:val="single"/>
          <w14:textFill>
            <w14:solidFill>
              <w14:schemeClr w14:val="tx1"/>
            </w14:solidFill>
          </w14:textFill>
        </w:rPr>
        <w:t>（一期）</w:t>
      </w:r>
      <w:r>
        <w:rPr>
          <w:rFonts w:hint="eastAsia"/>
          <w:color w:val="000000" w:themeColor="text1"/>
          <w:u w:val="none"/>
          <w14:textFill>
            <w14:solidFill>
              <w14:schemeClr w14:val="tx1"/>
            </w14:solidFill>
          </w14:textFill>
        </w:rPr>
        <w:t>（以下简称“目标地块”）建设用地国有土地使用权。</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2.甲方承诺申请挂牌时提交的各项证明文件及资料均为真实、准确、合法、有效和完整（含有关附件）；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3.签订本合同所需的包括但不限于授权、审批、公司内部决策等在内的一切批准手续均已合法有效取得，本合同成立的前提及先决条件均已满足；</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4.转让标的未设置任何可能影响产权转让的担保或限制。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或：</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就转让标的上设置的可能影响产权转让的任何担保或限制，甲方已取得有关权利人的同意或认可。</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5.给予一切合理及必要的协助，以完成本合同项下转让标的所需的有关政府主管部门的批准和变更；</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6.标的企业与龙游县国土资源局签订的</w:t>
      </w:r>
      <w:r>
        <w:rPr>
          <w:rFonts w:hint="eastAsia"/>
          <w:color w:val="000000" w:themeColor="text1"/>
          <w:u w:val="single"/>
          <w14:textFill>
            <w14:solidFill>
              <w14:schemeClr w14:val="tx1"/>
            </w14:solidFill>
          </w14:textFill>
        </w:rPr>
        <w:t>龙游农批市场</w:t>
      </w:r>
      <w:r>
        <w:rPr>
          <w:rFonts w:hint="eastAsia"/>
          <w:color w:val="000000" w:themeColor="text1"/>
          <w:u w:val="single"/>
          <w14:textFill>
            <w14:solidFill>
              <w14:schemeClr w14:val="tx1"/>
            </w14:solidFill>
          </w14:textFill>
        </w:rPr>
        <w:t>地</w:t>
      </w:r>
      <w:r>
        <w:rPr>
          <w:rFonts w:hint="eastAsia"/>
          <w:color w:val="000000" w:themeColor="text1"/>
          <w:u w:val="single"/>
          <w14:textFill>
            <w14:solidFill>
              <w14:schemeClr w14:val="tx1"/>
            </w14:solidFill>
          </w14:textFill>
        </w:rPr>
        <w:t>块</w:t>
      </w:r>
      <w:r>
        <w:rPr>
          <w:rFonts w:hint="eastAsia"/>
          <w:color w:val="000000" w:themeColor="text1"/>
          <w:u w:val="single"/>
          <w14:textFill>
            <w14:solidFill>
              <w14:schemeClr w14:val="tx1"/>
            </w14:solidFill>
          </w14:textFill>
        </w:rPr>
        <w:t>（一期）</w:t>
      </w:r>
      <w:r>
        <w:rPr>
          <w:rFonts w:hint="eastAsia"/>
          <w:color w:val="000000" w:themeColor="text1"/>
          <w14:textFill>
            <w14:solidFill>
              <w14:schemeClr w14:val="tx1"/>
            </w14:solidFill>
          </w14:textFill>
        </w:rPr>
        <w:t>国有建设用地使用权出让合同。</w:t>
      </w:r>
    </w:p>
    <w:p>
      <w:pPr>
        <w:spacing w:line="440" w:lineRule="exact"/>
        <w:ind w:left="454"/>
        <w:rPr>
          <w:color w:val="000000" w:themeColor="text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乙方的声明、保证和承诺</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1.具有签订和履行本合同的能力；已对标的企业进行</w:t>
      </w:r>
      <w:r>
        <w:rPr>
          <w:color w:val="000000" w:themeColor="text1"/>
          <w14:textFill>
            <w14:solidFill>
              <w14:schemeClr w14:val="tx1"/>
            </w14:solidFill>
          </w14:textFill>
        </w:rPr>
        <w:t>了尽调，</w:t>
      </w:r>
      <w:r>
        <w:rPr>
          <w:rFonts w:hint="eastAsia"/>
          <w:color w:val="000000" w:themeColor="text1"/>
          <w14:textFill>
            <w14:solidFill>
              <w14:schemeClr w14:val="tx1"/>
            </w14:solidFill>
          </w14:textFill>
        </w:rPr>
        <w:t>确认</w:t>
      </w:r>
      <w:r>
        <w:rPr>
          <w:color w:val="000000" w:themeColor="text1"/>
          <w14:textFill>
            <w14:solidFill>
              <w14:schemeClr w14:val="tx1"/>
            </w14:solidFill>
          </w14:textFill>
        </w:rPr>
        <w:t>标的企业符合本协议</w:t>
      </w:r>
      <w:r>
        <w:rPr>
          <w:rFonts w:hint="eastAsia"/>
          <w:color w:val="000000" w:themeColor="text1"/>
          <w14:textFill>
            <w14:solidFill>
              <w14:schemeClr w14:val="tx1"/>
            </w14:solidFill>
          </w14:textFill>
        </w:rPr>
        <w:t>约定</w:t>
      </w:r>
      <w:r>
        <w:rPr>
          <w:color w:val="000000" w:themeColor="text1"/>
          <w14:textFill>
            <w14:solidFill>
              <w14:schemeClr w14:val="tx1"/>
            </w14:solidFill>
          </w14:textFill>
        </w:rPr>
        <w:t>的转让条件和要求。</w:t>
      </w:r>
      <w:r>
        <w:rPr>
          <w:rFonts w:hint="eastAsia"/>
          <w:color w:val="000000" w:themeColor="text1"/>
          <w14:textFill>
            <w14:solidFill>
              <w14:schemeClr w14:val="tx1"/>
            </w14:solidFill>
          </w14:textFill>
        </w:rPr>
        <w:t>签订本合同所需的各项授权、审批，以及内部决策等在内的一切批准手续均已合法有效取得；</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2.乙方受让转让标的没有违反对受让方具有约束力的合同、协议等所有法律文件；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乙方承诺竞买报名所提交的资料和符合受让条件的相关证明均为真实、准确、合法、有效和完整（含有关附件），并已知悉工商等部门关于办理变更登记手续的有关规定，确保自身受让的主体资格和所提供的所有资料均能符合工商等部门对公司股东主体资格的要求。</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4.乙方承诺因受让转让标的而打入产权交易中心指定账户并委托其代为支付的转让价款，款项来源真实、合法。如今后因此笔款项发生问题，所引起的一切法律后果，均由乙方承担。</w:t>
      </w:r>
    </w:p>
    <w:p>
      <w:pPr>
        <w:widowControl/>
        <w:spacing w:line="44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乙方已确知</w:t>
      </w:r>
      <w:r>
        <w:rPr>
          <w:rFonts w:hint="eastAsia"/>
          <w:color w:val="000000" w:themeColor="text1"/>
          <w14:textFill>
            <w14:solidFill>
              <w14:schemeClr w14:val="tx1"/>
            </w14:solidFill>
          </w14:textFill>
        </w:rPr>
        <w:t>本合同第十条第1款所述标的企业</w:t>
      </w:r>
      <w:r>
        <w:rPr>
          <w:color w:val="000000" w:themeColor="text1"/>
          <w14:textFill>
            <w14:solidFill>
              <w14:schemeClr w14:val="tx1"/>
            </w14:solidFill>
          </w14:textFill>
        </w:rPr>
        <w:t>对</w:t>
      </w:r>
      <w:r>
        <w:rPr>
          <w:rFonts w:hint="eastAsia"/>
          <w:color w:val="000000" w:themeColor="text1"/>
          <w14:textFill>
            <w14:solidFill>
              <w14:schemeClr w14:val="tx1"/>
            </w14:solidFill>
          </w14:textFill>
        </w:rPr>
        <w:t>甲</w:t>
      </w:r>
      <w:r>
        <w:rPr>
          <w:color w:val="000000" w:themeColor="text1"/>
          <w14:textFill>
            <w14:solidFill>
              <w14:schemeClr w14:val="tx1"/>
            </w14:solidFill>
          </w14:textFill>
        </w:rPr>
        <w:t>方所负债务真实，</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自愿</w:t>
      </w:r>
      <w:r>
        <w:rPr>
          <w:rFonts w:hint="eastAsia"/>
          <w:color w:val="000000" w:themeColor="text1"/>
          <w14:textFill>
            <w14:solidFill>
              <w14:schemeClr w14:val="tx1"/>
            </w14:solidFill>
          </w14:textFill>
        </w:rPr>
        <w:t>对标的企业</w:t>
      </w:r>
      <w:r>
        <w:rPr>
          <w:color w:val="000000" w:themeColor="text1"/>
          <w14:textFill>
            <w14:solidFill>
              <w14:schemeClr w14:val="tx1"/>
            </w14:solidFill>
          </w14:textFill>
        </w:rPr>
        <w:t>对甲方所负</w:t>
      </w:r>
      <w:r>
        <w:rPr>
          <w:rFonts w:hint="eastAsia"/>
          <w:color w:val="000000" w:themeColor="text1"/>
          <w14:textFill>
            <w14:solidFill>
              <w14:schemeClr w14:val="tx1"/>
            </w14:solidFill>
          </w14:textFill>
        </w:rPr>
        <w:t>该项</w:t>
      </w:r>
      <w:r>
        <w:rPr>
          <w:color w:val="000000" w:themeColor="text1"/>
          <w14:textFill>
            <w14:solidFill>
              <w14:schemeClr w14:val="tx1"/>
            </w14:solidFill>
          </w14:textFill>
        </w:rPr>
        <w:t>债务</w:t>
      </w:r>
      <w:r>
        <w:rPr>
          <w:rFonts w:hint="eastAsia"/>
          <w:color w:val="000000" w:themeColor="text1"/>
          <w14:textFill>
            <w14:solidFill>
              <w14:schemeClr w14:val="tx1"/>
            </w14:solidFill>
          </w14:textFill>
        </w:rPr>
        <w:t>承担连带保证责任</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确保标的企业按照第十条第2款条件和期限偿还债务。</w:t>
      </w:r>
    </w:p>
    <w:p>
      <w:pPr>
        <w:widowControl/>
        <w:spacing w:line="440" w:lineRule="exact"/>
        <w:jc w:val="left"/>
        <w:rPr>
          <w:color w:val="000000" w:themeColor="text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违约责任</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1.本合同订立后，甲乙任何一方无故提出终止合同，应向对方一次性支付</w:t>
      </w:r>
      <w:r>
        <w:rPr>
          <w:rFonts w:hint="eastAsia"/>
          <w:color w:val="000000" w:themeColor="text1"/>
          <w:u w:val="single"/>
          <w14:textFill>
            <w14:solidFill>
              <w14:schemeClr w14:val="tx1"/>
            </w14:solidFill>
          </w14:textFill>
        </w:rPr>
        <w:t>壹仟万元</w:t>
      </w:r>
      <w:r>
        <w:rPr>
          <w:rFonts w:hint="eastAsia"/>
          <w:color w:val="000000" w:themeColor="text1"/>
          <w14:textFill>
            <w14:solidFill>
              <w14:schemeClr w14:val="tx1"/>
            </w14:solidFill>
          </w14:textFill>
        </w:rPr>
        <w:t>违约金，给对方造成损失的，还应承担赔偿责任。</w:t>
      </w:r>
    </w:p>
    <w:p>
      <w:pPr>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2.乙方未按合同约定期限支付转让价款</w:t>
      </w:r>
      <w:r>
        <w:rPr>
          <w:rFonts w:hint="eastAsia"/>
          <w:color w:val="000000" w:themeColor="text1"/>
          <w:highlight w:val="none"/>
          <w14:textFill>
            <w14:solidFill>
              <w14:schemeClr w14:val="tx1"/>
            </w14:solidFill>
          </w14:textFill>
        </w:rPr>
        <w:t>的</w:t>
      </w:r>
      <w:r>
        <w:rPr>
          <w:rFonts w:hint="eastAsia"/>
          <w:color w:val="000000" w:themeColor="text1"/>
          <w:highlight w:val="none"/>
          <w14:textFill>
            <w14:solidFill>
              <w14:schemeClr w14:val="tx1"/>
            </w14:solidFill>
          </w14:textFill>
        </w:rPr>
        <w:t>，应向甲方支付逾期付款违约金。违约金按照延迟支付期间应付价款的每日万分之</w:t>
      </w:r>
      <w:r>
        <w:rPr>
          <w:rFonts w:hint="eastAsia"/>
          <w:color w:val="000000" w:themeColor="text1"/>
          <w:highlight w:val="none"/>
          <w:u w:val="single"/>
          <w14:textFill>
            <w14:solidFill>
              <w14:schemeClr w14:val="tx1"/>
            </w14:solidFill>
          </w14:textFill>
        </w:rPr>
        <w:t xml:space="preserve"> 四 </w:t>
      </w:r>
      <w:r>
        <w:rPr>
          <w:rFonts w:hint="eastAsia"/>
          <w:color w:val="000000" w:themeColor="text1"/>
          <w:highlight w:val="none"/>
          <w14:textFill>
            <w14:solidFill>
              <w14:schemeClr w14:val="tx1"/>
            </w14:solidFill>
          </w14:textFill>
        </w:rPr>
        <w:t>计算</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逾期付款超过</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十</w:t>
      </w:r>
      <w:r>
        <w:rPr>
          <w:rFonts w:hint="eastAsia"/>
          <w:color w:val="000000" w:themeColor="text1"/>
          <w:highlight w:val="none"/>
          <w:u w:val="single"/>
          <w:lang w:val="en-US" w:eastAsia="zh-CN"/>
          <w14:textFill>
            <w14:solidFill>
              <w14:schemeClr w14:val="tx1"/>
            </w14:solidFill>
          </w14:textFill>
        </w:rPr>
        <w:t>个</w:t>
      </w:r>
      <w:r>
        <w:rPr>
          <w:rFonts w:hint="eastAsia"/>
          <w:color w:val="000000" w:themeColor="text1"/>
          <w:highlight w:val="none"/>
          <w:u w:val="single"/>
          <w14:textFill>
            <w14:solidFill>
              <w14:schemeClr w14:val="tx1"/>
            </w14:solidFill>
          </w14:textFill>
        </w:rPr>
        <w:t>日历</w:t>
      </w:r>
      <w:r>
        <w:rPr>
          <w:rFonts w:hint="eastAsia"/>
          <w:color w:val="000000" w:themeColor="text1"/>
          <w:highlight w:val="none"/>
          <w14:textFill>
            <w14:solidFill>
              <w14:schemeClr w14:val="tx1"/>
            </w14:solidFill>
          </w14:textFill>
        </w:rPr>
        <w:t>日</w:t>
      </w:r>
      <w:r>
        <w:rPr>
          <w:rFonts w:hint="eastAsia"/>
          <w:color w:val="000000" w:themeColor="text1"/>
          <w:highlight w:val="none"/>
          <w:lang w:val="en-US" w:eastAsia="zh-CN"/>
          <w14:textFill>
            <w14:solidFill>
              <w14:schemeClr w14:val="tx1"/>
            </w14:solidFill>
          </w14:textFill>
        </w:rPr>
        <w:t>的</w:t>
      </w:r>
      <w:r>
        <w:rPr>
          <w:rFonts w:hint="eastAsia"/>
          <w:color w:val="000000" w:themeColor="text1"/>
          <w:highlight w:val="none"/>
          <w14:textFill>
            <w14:solidFill>
              <w14:schemeClr w14:val="tx1"/>
            </w14:solidFill>
          </w14:textFill>
        </w:rPr>
        <w:t>，甲方有权解除合同</w:t>
      </w:r>
      <w:r>
        <w:rPr>
          <w:rFonts w:hint="eastAsia"/>
          <w:color w:val="000000" w:themeColor="text1"/>
          <w:highlight w:val="none"/>
          <w14:textFill>
            <w14:solidFill>
              <w14:schemeClr w14:val="tx1"/>
            </w14:solidFill>
          </w14:textFill>
        </w:rPr>
        <w:t>，要求乙方支付</w:t>
      </w:r>
      <w:r>
        <w:rPr>
          <w:rFonts w:hint="eastAsia"/>
          <w:color w:val="000000" w:themeColor="text1"/>
          <w:highlight w:val="none"/>
          <w:u w:val="single"/>
          <w14:textFill>
            <w14:solidFill>
              <w14:schemeClr w14:val="tx1"/>
            </w14:solidFill>
          </w14:textFill>
        </w:rPr>
        <w:t xml:space="preserve"> 壹仟万元</w:t>
      </w:r>
      <w:r>
        <w:rPr>
          <w:rFonts w:hint="eastAsia"/>
          <w:color w:val="000000" w:themeColor="text1"/>
          <w:highlight w:val="none"/>
          <w14:textFill>
            <w14:solidFill>
              <w14:schemeClr w14:val="tx1"/>
            </w14:solidFill>
          </w14:textFill>
        </w:rPr>
        <w:t>违约金，并要求乙方承担甲方及标的企业因此遭受的损失</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若损失难以计算的，</w:t>
      </w:r>
      <w:r>
        <w:rPr>
          <w:rFonts w:hint="eastAsia"/>
          <w:color w:val="000000" w:themeColor="text1"/>
          <w:highlight w:val="none"/>
          <w:lang w:val="en-US" w:eastAsia="zh-CN"/>
          <w14:textFill>
            <w14:solidFill>
              <w14:schemeClr w14:val="tx1"/>
            </w14:solidFill>
          </w14:textFill>
        </w:rPr>
        <w:t>甲方保留继续追偿的权利</w:t>
      </w:r>
      <w:r>
        <w:rPr>
          <w:rFonts w:hint="eastAsia"/>
          <w:color w:val="000000" w:themeColor="text1"/>
          <w:highlight w:val="none"/>
          <w14:textFill>
            <w14:solidFill>
              <w14:schemeClr w14:val="tx1"/>
            </w14:solidFill>
          </w14:textFill>
        </w:rPr>
        <w:t>。</w:t>
      </w:r>
    </w:p>
    <w:p>
      <w:pPr>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乙方</w:t>
      </w:r>
      <w:r>
        <w:rPr>
          <w:rFonts w:hint="eastAsia"/>
          <w:color w:val="000000" w:themeColor="text1"/>
          <w:highlight w:val="none"/>
          <w14:textFill>
            <w14:solidFill>
              <w14:schemeClr w14:val="tx1"/>
            </w14:solidFill>
          </w14:textFill>
        </w:rPr>
        <w:t>未按合同约定期限偿还所承担债务</w:t>
      </w:r>
      <w:r>
        <w:rPr>
          <w:rFonts w:hint="eastAsia"/>
          <w:color w:val="000000" w:themeColor="text1"/>
          <w:highlight w:val="none"/>
          <w:lang w:val="en-US" w:eastAsia="zh-CN"/>
          <w14:textFill>
            <w14:solidFill>
              <w14:schemeClr w14:val="tx1"/>
            </w14:solidFill>
          </w14:textFill>
        </w:rPr>
        <w:t>及利息</w:t>
      </w:r>
      <w:r>
        <w:rPr>
          <w:rFonts w:hint="eastAsia"/>
          <w:color w:val="000000" w:themeColor="text1"/>
          <w:highlight w:val="none"/>
          <w14:textFill>
            <w14:solidFill>
              <w14:schemeClr w14:val="tx1"/>
            </w14:solidFill>
          </w14:textFill>
        </w:rPr>
        <w:t>的，应向甲方支付逾期罚息，罚息按照延迟支付期间应偿还债务</w:t>
      </w:r>
      <w:r>
        <w:rPr>
          <w:rFonts w:hint="eastAsia"/>
          <w:color w:val="000000" w:themeColor="text1"/>
          <w:highlight w:val="none"/>
          <w:lang w:val="en-US" w:eastAsia="zh-CN"/>
          <w14:textFill>
            <w14:solidFill>
              <w14:schemeClr w14:val="tx1"/>
            </w14:solidFill>
          </w14:textFill>
        </w:rPr>
        <w:t>及利息</w:t>
      </w:r>
      <w:r>
        <w:rPr>
          <w:rFonts w:hint="eastAsia"/>
          <w:color w:val="000000" w:themeColor="text1"/>
          <w:highlight w:val="none"/>
          <w14:textFill>
            <w14:solidFill>
              <w14:schemeClr w14:val="tx1"/>
            </w14:solidFill>
          </w14:textFill>
        </w:rPr>
        <w:t>的每日万分之</w:t>
      </w:r>
      <w:r>
        <w:rPr>
          <w:rFonts w:hint="eastAsia"/>
          <w:color w:val="000000" w:themeColor="text1"/>
          <w:highlight w:val="none"/>
          <w:u w:val="single"/>
          <w14:textFill>
            <w14:solidFill>
              <w14:schemeClr w14:val="tx1"/>
            </w14:solidFill>
          </w14:textFill>
        </w:rPr>
        <w:t xml:space="preserve"> 四 </w:t>
      </w:r>
      <w:r>
        <w:rPr>
          <w:rFonts w:hint="eastAsia"/>
          <w:color w:val="000000" w:themeColor="text1"/>
          <w:highlight w:val="none"/>
          <w14:textFill>
            <w14:solidFill>
              <w14:schemeClr w14:val="tx1"/>
            </w14:solidFill>
          </w14:textFill>
        </w:rPr>
        <w:t>计算，乙方承担连带责任。逾期</w:t>
      </w:r>
      <w:r>
        <w:rPr>
          <w:rFonts w:hint="eastAsia"/>
          <w:color w:val="000000" w:themeColor="text1"/>
          <w:highlight w:val="none"/>
          <w:lang w:val="en-US" w:eastAsia="zh-CN"/>
          <w14:textFill>
            <w14:solidFill>
              <w14:schemeClr w14:val="tx1"/>
            </w14:solidFill>
          </w14:textFill>
        </w:rPr>
        <w:t>付款超过</w:t>
      </w:r>
      <w:r>
        <w:rPr>
          <w:rFonts w:hint="eastAsia"/>
          <w:color w:val="000000" w:themeColor="text1"/>
          <w:highlight w:val="none"/>
          <w:u w:val="single"/>
          <w14:textFill>
            <w14:solidFill>
              <w14:schemeClr w14:val="tx1"/>
            </w14:solidFill>
          </w14:textFill>
        </w:rPr>
        <w:t>十个日历</w:t>
      </w:r>
      <w:r>
        <w:rPr>
          <w:rFonts w:hint="eastAsia"/>
          <w:color w:val="000000" w:themeColor="text1"/>
          <w:highlight w:val="none"/>
          <w14:textFill>
            <w14:solidFill>
              <w14:schemeClr w14:val="tx1"/>
            </w14:solidFill>
          </w14:textFill>
        </w:rPr>
        <w:t>日</w:t>
      </w:r>
      <w:r>
        <w:rPr>
          <w:rFonts w:hint="eastAsia"/>
          <w:color w:val="000000" w:themeColor="text1"/>
          <w:highlight w:val="none"/>
          <w:lang w:val="en-US" w:eastAsia="zh-CN"/>
          <w14:textFill>
            <w14:solidFill>
              <w14:schemeClr w14:val="tx1"/>
            </w14:solidFill>
          </w14:textFill>
        </w:rPr>
        <w:t>的</w:t>
      </w:r>
      <w:r>
        <w:rPr>
          <w:rFonts w:hint="eastAsia"/>
          <w:color w:val="000000" w:themeColor="text1"/>
          <w:highlight w:val="none"/>
          <w14:textFill>
            <w14:solidFill>
              <w14:schemeClr w14:val="tx1"/>
            </w14:solidFill>
          </w14:textFill>
        </w:rPr>
        <w:t>，甲方有权解除合同，并要求乙方</w:t>
      </w:r>
      <w:r>
        <w:rPr>
          <w:rFonts w:hint="eastAsia"/>
          <w:color w:val="000000" w:themeColor="text1"/>
          <w:highlight w:val="none"/>
          <w14:textFill>
            <w14:solidFill>
              <w14:schemeClr w14:val="tx1"/>
            </w14:solidFill>
          </w14:textFill>
        </w:rPr>
        <w:t>支付</w:t>
      </w:r>
      <w:r>
        <w:rPr>
          <w:rFonts w:hint="eastAsia"/>
          <w:color w:val="000000" w:themeColor="text1"/>
          <w:highlight w:val="none"/>
          <w:u w:val="single"/>
          <w14:textFill>
            <w14:solidFill>
              <w14:schemeClr w14:val="tx1"/>
            </w14:solidFill>
          </w14:textFill>
        </w:rPr>
        <w:t xml:space="preserve"> 壹仟万元</w:t>
      </w:r>
      <w:r>
        <w:rPr>
          <w:rFonts w:hint="eastAsia"/>
          <w:color w:val="000000" w:themeColor="text1"/>
          <w:highlight w:val="none"/>
          <w:u w:val="single"/>
          <w:lang w:val="en-US" w:eastAsia="zh-CN"/>
          <w14:textFill>
            <w14:solidFill>
              <w14:schemeClr w14:val="tx1"/>
            </w14:solidFill>
          </w14:textFill>
        </w:rPr>
        <w:t>违约金</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若损失难以计算的，</w:t>
      </w:r>
      <w:r>
        <w:rPr>
          <w:rFonts w:hint="eastAsia"/>
          <w:color w:val="000000" w:themeColor="text1"/>
          <w:highlight w:val="none"/>
          <w:lang w:val="en-US" w:eastAsia="zh-CN"/>
          <w14:textFill>
            <w14:solidFill>
              <w14:schemeClr w14:val="tx1"/>
            </w14:solidFill>
          </w14:textFill>
        </w:rPr>
        <w:t>甲方保留继续追偿的权利</w:t>
      </w:r>
      <w:r>
        <w:rPr>
          <w:rFonts w:hint="eastAsia"/>
          <w:color w:val="000000" w:themeColor="text1"/>
          <w:highlight w:val="none"/>
          <w14:textFill>
            <w14:solidFill>
              <w14:schemeClr w14:val="tx1"/>
            </w14:solidFill>
          </w14:textFill>
        </w:rPr>
        <w:t>。</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4.甲方无正当事由未按本合同约定交割转让标的的，乙方有权解除本合同，并要求甲方按照本合同总转让价款的</w:t>
      </w:r>
      <w:r>
        <w:rPr>
          <w:rFonts w:hint="eastAsia"/>
          <w:color w:val="000000" w:themeColor="text1"/>
          <w:u w:val="single"/>
          <w14:textFill>
            <w14:solidFill>
              <w14:schemeClr w14:val="tx1"/>
            </w14:solidFill>
          </w14:textFill>
        </w:rPr>
        <w:t>20</w:t>
      </w:r>
      <w:r>
        <w:rPr>
          <w:rFonts w:hint="eastAsia"/>
          <w:color w:val="000000" w:themeColor="text1"/>
          <w14:textFill>
            <w14:solidFill>
              <w14:schemeClr w14:val="tx1"/>
            </w14:solidFill>
          </w14:textFill>
        </w:rPr>
        <w:t>%的标准向乙方支付违约金。</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5.标的企业的资产、债务等存在重大事项未披露或存在遗漏，对标的企业可能造成重大不利影响，或可能严重影响产权转让价值的，乙方有权解除合同，并要求甲方按照本合同总转让价款的</w:t>
      </w:r>
      <w:r>
        <w:rPr>
          <w:rFonts w:hint="eastAsia"/>
          <w:color w:val="000000" w:themeColor="text1"/>
          <w:u w:val="single"/>
          <w14:textFill>
            <w14:solidFill>
              <w14:schemeClr w14:val="tx1"/>
            </w14:solidFill>
          </w14:textFill>
        </w:rPr>
        <w:t xml:space="preserve"> 20</w:t>
      </w:r>
      <w:r>
        <w:rPr>
          <w:rFonts w:hint="eastAsia"/>
          <w:color w:val="000000" w:themeColor="text1"/>
          <w14:textFill>
            <w14:solidFill>
              <w14:schemeClr w14:val="tx1"/>
            </w14:solidFill>
          </w14:textFill>
        </w:rPr>
        <w:t>%的标准承担违约责任。乙方不解除合同的，有权要求甲方就有关事项进行补偿。补偿金额应相当于上述未披露或遗漏的资产、债务等事项可能导致的标的企业的损失数额。</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6.由于一方的过错造成本合同不能履行、不能完全履行或被政府有关部门认定为未生效、无效或未获批准等情形时，由过错的一方承担违约责任，双方均有过错的，则由双方按责任大小承担各自相应的责任。</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7.违约方尚应承担守约方因主张权利发生的调查费、诉讼费、律师费等损失。</w:t>
      </w:r>
    </w:p>
    <w:p>
      <w:pPr>
        <w:spacing w:line="440" w:lineRule="exact"/>
        <w:ind w:left="454"/>
        <w:rPr>
          <w:color w:val="000000" w:themeColor="text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管辖及争议解决方式</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1.本合同及产权交易中的行为均适用中华人民共和国法律。</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2.当事人之间发生争议的，应由双方协商解决，协商解决不成的，按下列第</w:t>
      </w:r>
      <w:r>
        <w:rPr>
          <w:rFonts w:hint="eastAsia"/>
          <w:color w:val="000000" w:themeColor="text1"/>
          <w:szCs w:val="21"/>
          <w:u w:val="single"/>
          <w14:textFill>
            <w14:solidFill>
              <w14:schemeClr w14:val="tx1"/>
            </w14:solidFill>
          </w14:textFill>
        </w:rPr>
        <w:t>2</w:t>
      </w:r>
      <w:r>
        <w:rPr>
          <w:rFonts w:hint="eastAsia"/>
          <w:color w:val="000000" w:themeColor="text1"/>
          <w14:textFill>
            <w14:solidFill>
              <w14:schemeClr w14:val="tx1"/>
            </w14:solidFill>
          </w14:textFill>
        </w:rPr>
        <w:t>种</w:t>
      </w:r>
    </w:p>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方式解决：（任选一种）</w:t>
      </w:r>
    </w:p>
    <w:p>
      <w:pPr>
        <w:numPr>
          <w:ilvl w:val="0"/>
          <w:numId w:val="22"/>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提交仲裁委员会仲裁并依其仲裁规则一裁终局；</w:t>
      </w:r>
    </w:p>
    <w:p>
      <w:pPr>
        <w:numPr>
          <w:ilvl w:val="0"/>
          <w:numId w:val="22"/>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依法向</w:t>
      </w:r>
      <w:r>
        <w:rPr>
          <w:rFonts w:hint="eastAsia"/>
          <w:color w:val="000000" w:themeColor="text1"/>
          <w:u w:val="single"/>
          <w14:textFill>
            <w14:solidFill>
              <w14:schemeClr w14:val="tx1"/>
            </w14:solidFill>
          </w14:textFill>
        </w:rPr>
        <w:t>甲方所在地</w:t>
      </w:r>
      <w:r>
        <w:rPr>
          <w:rFonts w:hint="eastAsia"/>
          <w:color w:val="000000" w:themeColor="text1"/>
          <w14:textFill>
            <w14:solidFill>
              <w14:schemeClr w14:val="tx1"/>
            </w14:solidFill>
          </w14:textFill>
        </w:rPr>
        <w:t>人民法院起诉。</w:t>
      </w:r>
    </w:p>
    <w:p>
      <w:pPr>
        <w:spacing w:line="440" w:lineRule="exact"/>
        <w:ind w:firstLine="420" w:firstLineChars="200"/>
        <w:rPr>
          <w:color w:val="000000" w:themeColor="text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通知与送达</w:t>
      </w:r>
    </w:p>
    <w:p>
      <w:pPr>
        <w:spacing w:line="440" w:lineRule="exact"/>
        <w:ind w:firstLine="420" w:firstLineChars="2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因履行本合同而发生的一方发给另一方的通知或信件应是书面的，按本合同内所示下列地址发送。通知或信件应由专人送交或通过邮政局传递。派人送交，签收时生效；如邮政局传送，则于送达时视为正式送交。更改地址要在5日之内以书面通知对方，如因一方未通知地址变更导致送达不能或约定地址无人接收通知或信件的，则在一方向约定地址寄送通知或信件之日起第5日视为送达。</w:t>
      </w:r>
    </w:p>
    <w:p>
      <w:pPr>
        <w:spacing w:line="440" w:lineRule="exact"/>
        <w:ind w:left="454"/>
        <w:rPr>
          <w:bCs/>
          <w:color w:val="000000" w:themeColor="text1"/>
          <w14:textFill>
            <w14:solidFill>
              <w14:schemeClr w14:val="tx1"/>
            </w14:solidFill>
          </w14:textFill>
        </w:rPr>
      </w:pPr>
      <w:r>
        <w:rPr>
          <w:rFonts w:hint="eastAsia"/>
          <w:bCs/>
          <w:color w:val="000000" w:themeColor="text1"/>
          <w14:textFill>
            <w14:solidFill>
              <w14:schemeClr w14:val="tx1"/>
            </w14:solidFill>
          </w14:textFill>
        </w:rPr>
        <w:t>2.双方通讯地址如下：</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甲方：龙游县商贸物流发展有限公司</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地址：电话：</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邮编：传真：</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乙方：</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地址：电话：</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邮编：传真：</w:t>
      </w:r>
    </w:p>
    <w:p>
      <w:pPr>
        <w:spacing w:line="440" w:lineRule="exact"/>
        <w:ind w:firstLine="840" w:firstLineChars="400"/>
        <w:rPr>
          <w:bCs/>
          <w:color w:val="000000" w:themeColor="text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合同的变更和解除</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1.当事人双方协商一致，可以解除本合同。</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2.发生下列情况之一时，一方可以解除本合同。</w:t>
      </w:r>
    </w:p>
    <w:p>
      <w:pPr>
        <w:numPr>
          <w:ilvl w:val="0"/>
          <w:numId w:val="23"/>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由于不可抗力或不可归责于双方的原因致使本合同的目的无法实现的。</w:t>
      </w:r>
    </w:p>
    <w:p>
      <w:pPr>
        <w:numPr>
          <w:ilvl w:val="0"/>
          <w:numId w:val="23"/>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另一方已丧失实际履约能力的。</w:t>
      </w:r>
    </w:p>
    <w:p>
      <w:pPr>
        <w:numPr>
          <w:ilvl w:val="0"/>
          <w:numId w:val="23"/>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另一方严重违约致使不能实现合同目的的；</w:t>
      </w:r>
    </w:p>
    <w:p>
      <w:pPr>
        <w:numPr>
          <w:ilvl w:val="0"/>
          <w:numId w:val="23"/>
        </w:numPr>
        <w:spacing w:line="44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另一方出现本合同第十</w:t>
      </w:r>
      <w:r>
        <w:rPr>
          <w:rFonts w:hint="eastAsia"/>
          <w:color w:val="000000" w:themeColor="text1"/>
          <w:highlight w:val="none"/>
          <w:lang w:val="en-US" w:eastAsia="zh-CN"/>
          <w14:textFill>
            <w14:solidFill>
              <w14:schemeClr w14:val="tx1"/>
            </w14:solidFill>
          </w14:textFill>
        </w:rPr>
        <w:t>三</w:t>
      </w:r>
      <w:r>
        <w:rPr>
          <w:rFonts w:hint="eastAsia"/>
          <w:color w:val="000000" w:themeColor="text1"/>
          <w:highlight w:val="none"/>
          <w14:textFill>
            <w14:solidFill>
              <w14:schemeClr w14:val="tx1"/>
            </w14:solidFill>
          </w14:textFill>
        </w:rPr>
        <w:t>条所述违约情形的。</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3.当事人双方协商一致，在不影响合同主要条款继续履行的前提下，可以变更本合同。变更或解除本合同均应采用书面形式，并送产权交易中心备案。</w:t>
      </w:r>
    </w:p>
    <w:p>
      <w:pPr>
        <w:spacing w:line="440" w:lineRule="exact"/>
        <w:ind w:left="454"/>
        <w:rPr>
          <w:color w:val="000000" w:themeColor="text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合同的生效</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本合同自甲乙双方签字</w:t>
      </w:r>
      <w:r>
        <w:rPr>
          <w:rFonts w:hint="eastAsia"/>
          <w:color w:val="000000" w:themeColor="text1"/>
          <w14:textFill>
            <w14:solidFill>
              <w14:schemeClr w14:val="tx1"/>
            </w14:solidFill>
          </w14:textFill>
        </w:rPr>
        <w:t>并加盖公章之</w:t>
      </w:r>
      <w:r>
        <w:rPr>
          <w:rFonts w:hint="eastAsia"/>
          <w:color w:val="000000" w:themeColor="text1"/>
          <w14:textFill>
            <w14:solidFill>
              <w14:schemeClr w14:val="tx1"/>
            </w14:solidFill>
          </w14:textFill>
        </w:rPr>
        <w:t>日起生效。</w:t>
      </w:r>
    </w:p>
    <w:p>
      <w:pPr>
        <w:spacing w:line="440" w:lineRule="exact"/>
        <w:ind w:firstLine="420" w:firstLineChars="200"/>
        <w:rPr>
          <w:color w:val="000000" w:themeColor="text1"/>
          <w14:textFill>
            <w14:solidFill>
              <w14:schemeClr w14:val="tx1"/>
            </w14:solidFill>
          </w14:textFill>
        </w:rPr>
      </w:pPr>
    </w:p>
    <w:p>
      <w:pPr>
        <w:numPr>
          <w:ilvl w:val="0"/>
          <w:numId w:val="19"/>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其他约定事项</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1.本合同生效后，双方对本合同内容的变更或补充应采用书面形式订立，并作</w:t>
      </w:r>
    </w:p>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为本合同的附件。附件与本合同具有同等的法律效力。</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2.乙方在受让转让标的过程中依照挂牌条件递交的所有报名文件为本合同不可</w:t>
      </w:r>
    </w:p>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分割的组成部分，与本合同具有同等法律效力。</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3.如甲乙双方此前已签订相关协议，内容与本合同不一致的，以本合同为准。</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4.本合同共有以下附件件，系本合同的组成部分：</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（1）附件一：</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（2）附件二：</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其他未尽事项，由甲乙双方另行协商签订补充协议，补充协议与本合同具有同等法律效力。</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5.本合同一式</w:t>
      </w:r>
      <w:r>
        <w:rPr>
          <w:rFonts w:hint="eastAsia"/>
          <w:color w:val="000000" w:themeColor="text1"/>
          <w:u w:val="single"/>
          <w14:textFill>
            <w14:solidFill>
              <w14:schemeClr w14:val="tx1"/>
            </w14:solidFill>
          </w14:textFill>
        </w:rPr>
        <w:t xml:space="preserve"> 玖  </w:t>
      </w:r>
      <w:r>
        <w:rPr>
          <w:rFonts w:hint="eastAsia"/>
          <w:color w:val="000000" w:themeColor="text1"/>
          <w14:textFill>
            <w14:solidFill>
              <w14:schemeClr w14:val="tx1"/>
            </w14:solidFill>
          </w14:textFill>
        </w:rPr>
        <w:t>份，甲、乙双方各执</w:t>
      </w:r>
      <w:r>
        <w:rPr>
          <w:rFonts w:hint="eastAsia"/>
          <w:color w:val="000000" w:themeColor="text1"/>
          <w:u w:val="single"/>
          <w14:textFill>
            <w14:solidFill>
              <w14:schemeClr w14:val="tx1"/>
            </w14:solidFill>
          </w14:textFill>
        </w:rPr>
        <w:t xml:space="preserve">  叁 </w:t>
      </w:r>
      <w:r>
        <w:rPr>
          <w:rFonts w:hint="eastAsia"/>
          <w:color w:val="000000" w:themeColor="text1"/>
          <w14:textFill>
            <w14:solidFill>
              <w14:schemeClr w14:val="tx1"/>
            </w14:solidFill>
          </w14:textFill>
        </w:rPr>
        <w:t>份，鉴证方产权交易中心留存</w:t>
      </w:r>
      <w:r>
        <w:rPr>
          <w:rFonts w:hint="eastAsia"/>
          <w:color w:val="000000" w:themeColor="text1"/>
          <w:u w:val="single"/>
          <w14:textFill>
            <w14:solidFill>
              <w14:schemeClr w14:val="tx1"/>
            </w14:solidFill>
          </w14:textFill>
        </w:rPr>
        <w:t xml:space="preserve"> 壹 </w:t>
      </w:r>
      <w:r>
        <w:rPr>
          <w:rFonts w:hint="eastAsia"/>
          <w:color w:val="000000" w:themeColor="text1"/>
          <w14:textFill>
            <w14:solidFill>
              <w14:schemeClr w14:val="tx1"/>
            </w14:solidFill>
          </w14:textFill>
        </w:rPr>
        <w:t>份</w:t>
      </w:r>
      <w:r>
        <w:rPr>
          <w:rFonts w:hint="eastAsia"/>
          <w:color w:val="000000" w:themeColor="text1"/>
          <w14:textFill>
            <w14:solidFill>
              <w14:schemeClr w14:val="tx1"/>
            </w14:solidFill>
          </w14:textFill>
        </w:rPr>
        <w:t>用于备案</w:t>
      </w:r>
      <w:r>
        <w:rPr>
          <w:rFonts w:hint="eastAsia" w:ascii="宋体" w:hAnsi="宋体"/>
          <w:color w:val="000000" w:themeColor="text1"/>
          <w:szCs w:val="21"/>
          <w14:textFill>
            <w14:solidFill>
              <w14:schemeClr w14:val="tx1"/>
            </w14:solidFill>
          </w14:textFill>
        </w:rPr>
        <w:t>并可作为产权交易中心处置合同项下有关款项和费用的依据</w:t>
      </w:r>
      <w:r>
        <w:rPr>
          <w:rFonts w:hint="eastAsia"/>
          <w:color w:val="000000" w:themeColor="text1"/>
          <w14:textFill>
            <w14:solidFill>
              <w14:schemeClr w14:val="tx1"/>
            </w14:solidFill>
          </w14:textFill>
        </w:rPr>
        <w:t>，其余</w:t>
      </w:r>
      <w:r>
        <w:rPr>
          <w:rFonts w:hint="eastAsia"/>
          <w:color w:val="000000" w:themeColor="text1"/>
          <w:u w:val="single"/>
          <w14:textFill>
            <w14:solidFill>
              <w14:schemeClr w14:val="tx1"/>
            </w14:solidFill>
          </w14:textFill>
        </w:rPr>
        <w:t xml:space="preserve">贰 </w:t>
      </w:r>
      <w:r>
        <w:rPr>
          <w:rFonts w:hint="eastAsia"/>
          <w:color w:val="000000" w:themeColor="text1"/>
          <w14:textFill>
            <w14:solidFill>
              <w14:schemeClr w14:val="tx1"/>
            </w14:solidFill>
          </w14:textFill>
        </w:rPr>
        <w:t>份报相关部门。</w:t>
      </w:r>
    </w:p>
    <w:p>
      <w:pPr>
        <w:spacing w:line="440" w:lineRule="exact"/>
        <w:ind w:firstLine="420" w:firstLineChars="200"/>
        <w:rPr>
          <w:color w:val="000000"/>
        </w:rPr>
      </w:pPr>
    </w:p>
    <w:p>
      <w:pPr>
        <w:spacing w:line="360" w:lineRule="auto"/>
        <w:rPr>
          <w:b/>
          <w:color w:val="000000"/>
        </w:rPr>
      </w:pPr>
      <w:r>
        <w:rPr>
          <w:rFonts w:hint="eastAsia"/>
          <w:b/>
          <w:color w:val="000000"/>
        </w:rPr>
        <w:t>（此页为《龙游县百益农副产品批发市场有限公司60%股权转让交易合同》签署页，无正文）</w:t>
      </w:r>
    </w:p>
    <w:p>
      <w:pPr>
        <w:spacing w:line="360" w:lineRule="auto"/>
        <w:rPr>
          <w:color w:val="000000"/>
        </w:rPr>
      </w:pPr>
    </w:p>
    <w:p>
      <w:pPr>
        <w:spacing w:line="360" w:lineRule="auto"/>
        <w:rPr>
          <w:rFonts w:ascii="宋体" w:hAnsi="宋体"/>
          <w:color w:val="000000"/>
          <w:sz w:val="24"/>
        </w:rPr>
      </w:pPr>
      <w:r>
        <w:rPr>
          <w:rFonts w:hint="eastAsia"/>
          <w:b/>
          <w:color w:val="000000"/>
          <w:sz w:val="24"/>
        </w:rPr>
        <w:t>转让方（甲方）：龙游县商贸物流发展有限公司</w:t>
      </w:r>
    </w:p>
    <w:p>
      <w:pPr>
        <w:spacing w:line="360" w:lineRule="auto"/>
        <w:rPr>
          <w:b/>
          <w:color w:val="000000"/>
          <w:sz w:val="24"/>
        </w:rPr>
      </w:pPr>
    </w:p>
    <w:p>
      <w:pPr>
        <w:spacing w:line="360" w:lineRule="auto"/>
        <w:rPr>
          <w:b/>
          <w:color w:val="000000"/>
          <w:sz w:val="24"/>
        </w:rPr>
      </w:pPr>
      <w:r>
        <w:rPr>
          <w:rFonts w:hint="eastAsia"/>
          <w:b/>
          <w:color w:val="000000"/>
          <w:sz w:val="24"/>
        </w:rPr>
        <w:t>授权代表/法定代表人（签字）：</w:t>
      </w:r>
    </w:p>
    <w:p>
      <w:pPr>
        <w:spacing w:line="360" w:lineRule="auto"/>
        <w:rPr>
          <w:b/>
          <w:color w:val="000000"/>
          <w:sz w:val="24"/>
        </w:rPr>
      </w:pPr>
    </w:p>
    <w:p>
      <w:pPr>
        <w:spacing w:line="360" w:lineRule="auto"/>
        <w:rPr>
          <w:b/>
          <w:color w:val="000000"/>
          <w:sz w:val="24"/>
        </w:rPr>
      </w:pPr>
      <w:r>
        <w:rPr>
          <w:rFonts w:hint="eastAsia"/>
          <w:b/>
          <w:color w:val="000000"/>
          <w:sz w:val="24"/>
        </w:rPr>
        <w:t>签署日期：</w:t>
      </w:r>
    </w:p>
    <w:p>
      <w:pPr>
        <w:spacing w:line="360" w:lineRule="auto"/>
        <w:rPr>
          <w:b/>
          <w:color w:val="000000"/>
          <w:sz w:val="24"/>
        </w:rPr>
      </w:pPr>
    </w:p>
    <w:p>
      <w:pPr>
        <w:spacing w:line="360" w:lineRule="auto"/>
        <w:rPr>
          <w:b/>
          <w:color w:val="000000"/>
          <w:sz w:val="24"/>
        </w:rPr>
      </w:pPr>
    </w:p>
    <w:p>
      <w:pPr>
        <w:spacing w:line="360" w:lineRule="auto"/>
        <w:rPr>
          <w:b/>
          <w:color w:val="000000"/>
          <w:sz w:val="24"/>
        </w:rPr>
      </w:pPr>
      <w:r>
        <w:rPr>
          <w:rFonts w:hint="eastAsia"/>
          <w:b/>
          <w:color w:val="000000"/>
          <w:sz w:val="24"/>
        </w:rPr>
        <w:t>受让方（乙方）：</w:t>
      </w:r>
    </w:p>
    <w:p>
      <w:pPr>
        <w:spacing w:line="360" w:lineRule="auto"/>
        <w:rPr>
          <w:b/>
          <w:color w:val="000000"/>
          <w:sz w:val="24"/>
        </w:rPr>
      </w:pPr>
    </w:p>
    <w:p>
      <w:pPr>
        <w:spacing w:line="360" w:lineRule="auto"/>
        <w:rPr>
          <w:b/>
          <w:color w:val="000000"/>
          <w:sz w:val="24"/>
        </w:rPr>
      </w:pPr>
      <w:r>
        <w:rPr>
          <w:rFonts w:hint="eastAsia"/>
          <w:b/>
          <w:color w:val="000000"/>
          <w:sz w:val="24"/>
        </w:rPr>
        <w:t>授权代表/法定代表人（签字）：</w:t>
      </w:r>
    </w:p>
    <w:p>
      <w:pPr>
        <w:spacing w:line="360" w:lineRule="auto"/>
        <w:rPr>
          <w:b/>
          <w:color w:val="000000"/>
          <w:sz w:val="24"/>
        </w:rPr>
      </w:pPr>
    </w:p>
    <w:p>
      <w:pPr>
        <w:spacing w:line="360" w:lineRule="auto"/>
        <w:rPr>
          <w:b/>
          <w:color w:val="000000"/>
          <w:sz w:val="24"/>
        </w:rPr>
      </w:pPr>
      <w:r>
        <w:rPr>
          <w:rFonts w:hint="eastAsia"/>
          <w:b/>
          <w:color w:val="000000"/>
          <w:sz w:val="24"/>
        </w:rPr>
        <w:t>签署日期：</w:t>
      </w:r>
    </w:p>
    <w:p>
      <w:pPr>
        <w:spacing w:line="360" w:lineRule="auto"/>
        <w:rPr>
          <w:b/>
          <w:color w:val="000000"/>
          <w:sz w:val="24"/>
        </w:rPr>
      </w:pPr>
    </w:p>
    <w:p>
      <w:pPr>
        <w:spacing w:line="360" w:lineRule="auto"/>
        <w:rPr>
          <w:b/>
          <w:color w:val="000000"/>
          <w:sz w:val="24"/>
        </w:rPr>
      </w:pPr>
    </w:p>
    <w:p>
      <w:pPr>
        <w:spacing w:line="360" w:lineRule="auto"/>
        <w:rPr>
          <w:b/>
          <w:color w:val="000000"/>
          <w:sz w:val="24"/>
        </w:rPr>
      </w:pPr>
      <w:r>
        <w:rPr>
          <w:rFonts w:hint="eastAsia"/>
          <w:b/>
          <w:color w:val="000000"/>
          <w:sz w:val="24"/>
        </w:rPr>
        <w:t>鉴证方：衢州市产权交易中心有限公司</w:t>
      </w:r>
    </w:p>
    <w:p>
      <w:pPr>
        <w:spacing w:line="360" w:lineRule="auto"/>
        <w:rPr>
          <w:b/>
          <w:color w:val="000000"/>
          <w:sz w:val="24"/>
        </w:rPr>
      </w:pPr>
    </w:p>
    <w:p>
      <w:pPr>
        <w:spacing w:line="360" w:lineRule="auto"/>
        <w:rPr>
          <w:b/>
          <w:color w:val="000000"/>
          <w:sz w:val="24"/>
        </w:rPr>
      </w:pPr>
      <w:r>
        <w:rPr>
          <w:rFonts w:hint="eastAsia"/>
          <w:b/>
          <w:color w:val="000000"/>
          <w:sz w:val="24"/>
        </w:rPr>
        <w:t>授权代表/法定代表人（签字）：</w:t>
      </w:r>
    </w:p>
    <w:p>
      <w:pPr>
        <w:spacing w:line="360" w:lineRule="auto"/>
        <w:rPr>
          <w:b/>
          <w:color w:val="000000"/>
          <w:sz w:val="24"/>
        </w:rPr>
      </w:pPr>
    </w:p>
    <w:p>
      <w:pPr>
        <w:spacing w:line="360" w:lineRule="auto"/>
        <w:rPr>
          <w:b/>
          <w:color w:val="000000"/>
          <w:sz w:val="24"/>
        </w:rPr>
      </w:pPr>
      <w:r>
        <w:rPr>
          <w:rFonts w:hint="eastAsia"/>
          <w:b/>
          <w:color w:val="000000"/>
          <w:sz w:val="24"/>
        </w:rPr>
        <w:t>鉴证日期：</w:t>
      </w:r>
    </w:p>
    <w:p>
      <w:pPr>
        <w:rPr>
          <w:color w:val="000000"/>
        </w:rPr>
      </w:pPr>
    </w:p>
    <w:p>
      <w:pPr>
        <w:rPr>
          <w:color w:val="000000"/>
        </w:rPr>
      </w:pPr>
    </w:p>
    <w:p>
      <w:pPr>
        <w:ind w:firstLine="6405" w:firstLineChars="3050"/>
        <w:rPr>
          <w:color w:val="000000"/>
        </w:rPr>
      </w:pPr>
      <w:r>
        <w:rPr>
          <w:rFonts w:hint="eastAsia"/>
          <w:color w:val="000000"/>
        </w:rPr>
        <w:t>签署地：浙江衢州</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ascii="黑体" w:eastAsia="黑体"/>
          <w:sz w:val="18"/>
          <w:szCs w:val="18"/>
        </w:rPr>
      </w:pPr>
      <w:r>
        <w:rPr>
          <w:rFonts w:hint="eastAsia" w:ascii="黑体" w:eastAsia="黑体"/>
          <w:sz w:val="18"/>
          <w:szCs w:val="18"/>
        </w:rPr>
        <w:t>上述</w:t>
      </w:r>
      <w:r>
        <w:rPr>
          <w:rFonts w:hint="eastAsia" w:ascii="黑体" w:eastAsia="黑体"/>
          <w:sz w:val="18"/>
          <w:szCs w:val="18"/>
          <w:lang w:eastAsia="zh-CN"/>
        </w:rPr>
        <w:t>股权转让合同</w:t>
      </w:r>
      <w:r>
        <w:rPr>
          <w:rFonts w:hint="eastAsia" w:ascii="黑体" w:eastAsia="黑体"/>
          <w:sz w:val="18"/>
          <w:szCs w:val="18"/>
        </w:rPr>
        <w:t>内容本竞买人已阅读，并同意遵照执行。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420"/>
        <w:jc w:val="right"/>
        <w:textAlignment w:val="auto"/>
        <w:outlineLvl w:val="9"/>
        <w:rPr>
          <w:rFonts w:ascii="黑体" w:eastAsia="黑体"/>
          <w:sz w:val="18"/>
          <w:szCs w:val="18"/>
        </w:rPr>
      </w:pPr>
      <w:r>
        <w:rPr>
          <w:rFonts w:hint="eastAsia" w:ascii="黑体" w:eastAsia="黑体"/>
          <w:sz w:val="18"/>
          <w:szCs w:val="18"/>
        </w:rPr>
        <w:t xml:space="preserve">竞买人（签字盖章）：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outlineLvl w:val="9"/>
        <w:rPr>
          <w:rFonts w:hint="eastAsia" w:ascii="黑体" w:eastAsia="黑体"/>
          <w:sz w:val="18"/>
          <w:szCs w:val="18"/>
        </w:rPr>
      </w:pPr>
      <w:r>
        <w:rPr>
          <w:rFonts w:hint="eastAsia" w:ascii="黑体" w:eastAsia="黑体"/>
          <w:sz w:val="18"/>
          <w:szCs w:val="18"/>
        </w:rPr>
        <w:t xml:space="preserve">日期：   年   月   日 </w:t>
      </w:r>
    </w:p>
    <w:p>
      <w:pPr>
        <w:ind w:right="210"/>
        <w:jc w:val="both"/>
        <w:rPr>
          <w:color w:val="000000"/>
        </w:rPr>
      </w:pPr>
    </w:p>
    <w:sectPr>
      <w:headerReference r:id="rId3" w:type="default"/>
      <w:footerReference r:id="rId4" w:type="default"/>
      <w:pgSz w:w="11907" w:h="16840"/>
      <w:pgMar w:top="1281" w:right="1701" w:bottom="1304" w:left="1985" w:header="851" w:footer="992" w:gutter="0"/>
      <w:cols w:space="0" w:num="1"/>
      <w:rtlGutter w:val="0"/>
      <w:docGrid w:type="linesAndChar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20</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1F0"/>
    <w:multiLevelType w:val="multilevel"/>
    <w:tmpl w:val="021801F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C41501A"/>
    <w:multiLevelType w:val="multilevel"/>
    <w:tmpl w:val="0C41501A"/>
    <w:lvl w:ilvl="0" w:tentative="0">
      <w:start w:val="1"/>
      <w:numFmt w:val="decimal"/>
      <w:lvlText w:val="%1"/>
      <w:lvlJc w:val="left"/>
      <w:pPr>
        <w:tabs>
          <w:tab w:val="left" w:pos="432"/>
        </w:tabs>
        <w:ind w:left="432" w:hanging="432"/>
      </w:pPr>
      <w:rPr>
        <w:b/>
        <w:i w:val="0"/>
        <w:sz w:val="28"/>
        <w:lang w:val="en-US"/>
      </w:rPr>
    </w:lvl>
    <w:lvl w:ilvl="1" w:tentative="0">
      <w:start w:val="1"/>
      <w:numFmt w:val="decimal"/>
      <w:pStyle w:val="3"/>
      <w:lvlText w:val="%1.%2"/>
      <w:lvlJc w:val="left"/>
      <w:pPr>
        <w:tabs>
          <w:tab w:val="left" w:pos="576"/>
        </w:tabs>
        <w:ind w:left="576" w:hanging="576"/>
      </w:pPr>
      <w:rPr>
        <w:b w:val="0"/>
      </w:rPr>
    </w:lvl>
    <w:lvl w:ilvl="2" w:tentative="0">
      <w:start w:val="1"/>
      <w:numFmt w:val="decimal"/>
      <w:pStyle w:val="5"/>
      <w:lvlText w:val="%1.%2.%3"/>
      <w:lvlJc w:val="left"/>
      <w:pPr>
        <w:tabs>
          <w:tab w:val="left" w:pos="720"/>
        </w:tabs>
        <w:ind w:left="720" w:hanging="720"/>
      </w:pPr>
      <w:rPr>
        <w:b w:val="0"/>
      </w:rPr>
    </w:lvl>
    <w:lvl w:ilvl="3" w:tentative="0">
      <w:start w:val="1"/>
      <w:numFmt w:val="decimal"/>
      <w:lvlText w:val="%1.%2.%3.%4"/>
      <w:lvlJc w:val="left"/>
      <w:pPr>
        <w:tabs>
          <w:tab w:val="left" w:pos="2664"/>
        </w:tabs>
        <w:ind w:left="26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103045F9"/>
    <w:multiLevelType w:val="multilevel"/>
    <w:tmpl w:val="103045F9"/>
    <w:lvl w:ilvl="0" w:tentative="0">
      <w:start w:val="1"/>
      <w:numFmt w:val="japaneseCounting"/>
      <w:lvlText w:val="%1、"/>
      <w:lvlJc w:val="left"/>
      <w:pPr>
        <w:tabs>
          <w:tab w:val="left" w:pos="1130"/>
        </w:tabs>
        <w:ind w:left="1130" w:hanging="420"/>
      </w:pPr>
      <w:rPr>
        <w:rFonts w:hint="default"/>
        <w:color w:val="000000"/>
      </w:rPr>
    </w:lvl>
    <w:lvl w:ilvl="1" w:tentative="0">
      <w:start w:val="2008"/>
      <w:numFmt w:val="decimal"/>
      <w:lvlText w:val="%2年"/>
      <w:lvlJc w:val="left"/>
      <w:pPr>
        <w:tabs>
          <w:tab w:val="left" w:pos="1980"/>
        </w:tabs>
        <w:ind w:left="1980" w:hanging="900"/>
      </w:pPr>
      <w:rPr>
        <w:rFonts w:hint="default"/>
      </w:rPr>
    </w:lvl>
    <w:lvl w:ilvl="2" w:tentative="0">
      <w:start w:val="1"/>
      <w:numFmt w:val="japaneseCounting"/>
      <w:lvlText w:val="（%3）"/>
      <w:lvlJc w:val="left"/>
      <w:pPr>
        <w:tabs>
          <w:tab w:val="left" w:pos="2880"/>
        </w:tabs>
        <w:ind w:left="2880" w:hanging="7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34B697F"/>
    <w:multiLevelType w:val="multilevel"/>
    <w:tmpl w:val="134B697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B0C528C"/>
    <w:multiLevelType w:val="multilevel"/>
    <w:tmpl w:val="1B0C528C"/>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E800A3"/>
    <w:multiLevelType w:val="multilevel"/>
    <w:tmpl w:val="21E800A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chineseCountingThousand"/>
      <w:lvlText w:val="(%3)"/>
      <w:lvlJc w:val="left"/>
      <w:pPr>
        <w:ind w:left="0" w:firstLine="397"/>
      </w:pPr>
      <w:rPr>
        <w:rFonts w:hint="eastAsia"/>
        <w:b w:val="0"/>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5F15770"/>
    <w:multiLevelType w:val="multilevel"/>
    <w:tmpl w:val="25F15770"/>
    <w:lvl w:ilvl="0" w:tentative="0">
      <w:start w:val="1"/>
      <w:numFmt w:val="koreanDigital2"/>
      <w:pStyle w:val="33"/>
      <w:suff w:val="space"/>
      <w:lvlText w:val="第%1条"/>
      <w:lvlJc w:val="left"/>
      <w:pPr>
        <w:ind w:left="0" w:firstLine="0"/>
      </w:pPr>
      <w:rPr>
        <w:rFonts w:hint="eastAsia" w:ascii="宋体" w:hAnsi="宋体"/>
        <w:b/>
        <w:i w:val="0"/>
        <w:caps/>
        <w:smallCaps w:val="0"/>
        <w:strike w:val="0"/>
        <w:dstrike w:val="0"/>
        <w:outline w:val="0"/>
        <w:shadow w:val="0"/>
        <w:emboss w:val="0"/>
        <w:imprint w:val="0"/>
        <w:vanish w:val="0"/>
        <w:sz w:val="24"/>
        <w:szCs w:val="24"/>
        <w:u w:val="none"/>
        <w:vertAlign w:val="baseline"/>
      </w:rPr>
    </w:lvl>
    <w:lvl w:ilvl="1" w:tentative="0">
      <w:start w:val="1"/>
      <w:numFmt w:val="decimalZero"/>
      <w:pStyle w:val="34"/>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tentative="0">
      <w:start w:val="1"/>
      <w:numFmt w:val="lowerLetter"/>
      <w:pStyle w:val="35"/>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tentative="0">
      <w:start w:val="1"/>
      <w:numFmt w:val="lowerRoman"/>
      <w:pStyle w:val="36"/>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tentative="0">
      <w:start w:val="1"/>
      <w:numFmt w:val="ordinalText"/>
      <w:pStyle w:val="37"/>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7">
    <w:nsid w:val="261A61EB"/>
    <w:multiLevelType w:val="multilevel"/>
    <w:tmpl w:val="261A61EB"/>
    <w:lvl w:ilvl="0" w:tentative="0">
      <w:start w:val="1"/>
      <w:numFmt w:val="chineseCountingThousand"/>
      <w:lvlText w:val="%1、"/>
      <w:lvlJc w:val="left"/>
      <w:pPr>
        <w:tabs>
          <w:tab w:val="left" w:pos="420"/>
        </w:tabs>
        <w:ind w:left="0" w:firstLine="397"/>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2FA51520"/>
    <w:multiLevelType w:val="multilevel"/>
    <w:tmpl w:val="2FA51520"/>
    <w:lvl w:ilvl="0" w:tentative="0">
      <w:start w:val="1"/>
      <w:numFmt w:val="decimal"/>
      <w:lvlText w:val="（%1）"/>
      <w:lvlJc w:val="left"/>
      <w:pPr>
        <w:tabs>
          <w:tab w:val="left" w:pos="817"/>
        </w:tabs>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3F90F28"/>
    <w:multiLevelType w:val="multilevel"/>
    <w:tmpl w:val="33F90F28"/>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B649C7"/>
    <w:multiLevelType w:val="multilevel"/>
    <w:tmpl w:val="3CB649C7"/>
    <w:lvl w:ilvl="0" w:tentative="0">
      <w:start w:val="1"/>
      <w:numFmt w:val="decimal"/>
      <w:lvlText w:val="%1."/>
      <w:lvlJc w:val="left"/>
      <w:pPr>
        <w:ind w:left="0" w:firstLine="42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5E76BF8"/>
    <w:multiLevelType w:val="singleLevel"/>
    <w:tmpl w:val="45E76BF8"/>
    <w:lvl w:ilvl="0" w:tentative="0">
      <w:start w:val="1"/>
      <w:numFmt w:val="upperLetter"/>
      <w:pStyle w:val="2"/>
      <w:lvlText w:val="%1、"/>
      <w:lvlJc w:val="left"/>
      <w:pPr>
        <w:tabs>
          <w:tab w:val="left" w:pos="1410"/>
        </w:tabs>
        <w:ind w:left="1410" w:hanging="420"/>
      </w:pPr>
      <w:rPr>
        <w:rFonts w:hint="eastAsia"/>
      </w:rPr>
    </w:lvl>
  </w:abstractNum>
  <w:abstractNum w:abstractNumId="12">
    <w:nsid w:val="48BC0C38"/>
    <w:multiLevelType w:val="multilevel"/>
    <w:tmpl w:val="48BC0C38"/>
    <w:lvl w:ilvl="0" w:tentative="0">
      <w:start w:val="1"/>
      <w:numFmt w:val="chineseCountingThousand"/>
      <w:lvlText w:val="(%1)"/>
      <w:lvlJc w:val="left"/>
      <w:pPr>
        <w:ind w:left="0" w:firstLine="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A84750"/>
    <w:multiLevelType w:val="multilevel"/>
    <w:tmpl w:val="4AA8475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4">
    <w:nsid w:val="4DE2150E"/>
    <w:multiLevelType w:val="multilevel"/>
    <w:tmpl w:val="4DE2150E"/>
    <w:lvl w:ilvl="0" w:tentative="0">
      <w:start w:val="1"/>
      <w:numFmt w:val="decimal"/>
      <w:lvlText w:val="%1."/>
      <w:lvlJc w:val="left"/>
      <w:pPr>
        <w:ind w:left="0" w:firstLine="51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E68286C"/>
    <w:multiLevelType w:val="multilevel"/>
    <w:tmpl w:val="4E68286C"/>
    <w:lvl w:ilvl="0" w:tentative="0">
      <w:start w:val="1"/>
      <w:numFmt w:val="chineseCountingThousand"/>
      <w:lvlText w:val="（%1）、"/>
      <w:lvlJc w:val="left"/>
      <w:pPr>
        <w:tabs>
          <w:tab w:val="left" w:pos="851"/>
        </w:tabs>
        <w:ind w:left="0" w:firstLine="340"/>
      </w:pPr>
      <w:rPr>
        <w:rFonts w:hint="default" w:ascii="宋体" w:hAnsi="宋体" w:eastAsia="宋体"/>
        <w:b w:val="0"/>
        <w:color w:val="000000"/>
        <w:sz w:val="21"/>
        <w:szCs w:val="21"/>
      </w:rPr>
    </w:lvl>
    <w:lvl w:ilvl="1" w:tentative="0">
      <w:start w:val="1"/>
      <w:numFmt w:val="decimal"/>
      <w:lvlText w:val="%2."/>
      <w:lvlJc w:val="left"/>
      <w:pPr>
        <w:tabs>
          <w:tab w:val="left" w:pos="680"/>
        </w:tabs>
        <w:ind w:left="0" w:firstLine="454"/>
      </w:pPr>
      <w:rPr>
        <w:rFonts w:hint="default"/>
        <w:b w:val="0"/>
        <w:color w:val="000000"/>
        <w:sz w:val="21"/>
        <w:szCs w:val="21"/>
      </w:rPr>
    </w:lvl>
    <w:lvl w:ilvl="2" w:tentative="0">
      <w:start w:val="2"/>
      <w:numFmt w:val="japaneseCounting"/>
      <w:lvlText w:val="（%3）"/>
      <w:lvlJc w:val="left"/>
      <w:pPr>
        <w:tabs>
          <w:tab w:val="left" w:pos="1560"/>
        </w:tabs>
        <w:ind w:left="1560" w:hanging="720"/>
      </w:pPr>
      <w:rPr>
        <w:rFonts w:hint="default"/>
      </w:rPr>
    </w:lvl>
    <w:lvl w:ilvl="3" w:tentative="0">
      <w:start w:val="2009"/>
      <w:numFmt w:val="decimal"/>
      <w:lvlText w:val="%4年"/>
      <w:lvlJc w:val="left"/>
      <w:pPr>
        <w:tabs>
          <w:tab w:val="left" w:pos="6990"/>
        </w:tabs>
        <w:ind w:left="6990" w:hanging="69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C8F2680"/>
    <w:multiLevelType w:val="singleLevel"/>
    <w:tmpl w:val="5C8F2680"/>
    <w:lvl w:ilvl="0" w:tentative="0">
      <w:start w:val="7"/>
      <w:numFmt w:val="decimal"/>
      <w:suff w:val="nothing"/>
      <w:lvlText w:val="%1."/>
      <w:lvlJc w:val="left"/>
    </w:lvl>
  </w:abstractNum>
  <w:abstractNum w:abstractNumId="17">
    <w:nsid w:val="5C8F26B0"/>
    <w:multiLevelType w:val="singleLevel"/>
    <w:tmpl w:val="5C8F26B0"/>
    <w:lvl w:ilvl="0" w:tentative="0">
      <w:start w:val="14"/>
      <w:numFmt w:val="decimal"/>
      <w:suff w:val="nothing"/>
      <w:lvlText w:val="%1."/>
      <w:lvlJc w:val="left"/>
    </w:lvl>
  </w:abstractNum>
  <w:abstractNum w:abstractNumId="18">
    <w:nsid w:val="632F45D9"/>
    <w:multiLevelType w:val="multilevel"/>
    <w:tmpl w:val="632F45D9"/>
    <w:lvl w:ilvl="0" w:tentative="0">
      <w:start w:val="1"/>
      <w:numFmt w:val="decimal"/>
      <w:lvlText w:val="（%1）"/>
      <w:lvlJc w:val="left"/>
      <w:pPr>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0F94298"/>
    <w:multiLevelType w:val="multilevel"/>
    <w:tmpl w:val="70F94298"/>
    <w:lvl w:ilvl="0" w:tentative="0">
      <w:start w:val="1"/>
      <w:numFmt w:val="decimal"/>
      <w:lvlText w:val="%1."/>
      <w:lvlJc w:val="left"/>
      <w:pPr>
        <w:tabs>
          <w:tab w:val="left" w:pos="934"/>
        </w:tabs>
        <w:ind w:left="934" w:hanging="574"/>
      </w:pPr>
      <w:rPr>
        <w:rFonts w:hint="default"/>
      </w:rPr>
    </w:lvl>
    <w:lvl w:ilvl="1" w:tentative="0">
      <w:start w:val="1"/>
      <w:numFmt w:val="lowerLetter"/>
      <w:lvlText w:val="%2)"/>
      <w:lvlJc w:val="left"/>
      <w:pPr>
        <w:tabs>
          <w:tab w:val="left" w:pos="640"/>
        </w:tabs>
        <w:ind w:left="640" w:hanging="420"/>
      </w:pPr>
    </w:lvl>
    <w:lvl w:ilvl="2" w:tentative="0">
      <w:start w:val="1"/>
      <w:numFmt w:val="lowerRoman"/>
      <w:lvlText w:val="%3."/>
      <w:lvlJc w:val="right"/>
      <w:pPr>
        <w:tabs>
          <w:tab w:val="left" w:pos="1060"/>
        </w:tabs>
        <w:ind w:left="1060" w:hanging="420"/>
      </w:pPr>
    </w:lvl>
    <w:lvl w:ilvl="3" w:tentative="0">
      <w:start w:val="1"/>
      <w:numFmt w:val="decimal"/>
      <w:lvlText w:val="%4."/>
      <w:lvlJc w:val="left"/>
      <w:pPr>
        <w:tabs>
          <w:tab w:val="left" w:pos="1480"/>
        </w:tabs>
        <w:ind w:left="1480" w:hanging="420"/>
      </w:pPr>
    </w:lvl>
    <w:lvl w:ilvl="4" w:tentative="0">
      <w:start w:val="1"/>
      <w:numFmt w:val="lowerLetter"/>
      <w:lvlText w:val="%5)"/>
      <w:lvlJc w:val="left"/>
      <w:pPr>
        <w:tabs>
          <w:tab w:val="left" w:pos="1900"/>
        </w:tabs>
        <w:ind w:left="1900" w:hanging="420"/>
      </w:pPr>
    </w:lvl>
    <w:lvl w:ilvl="5" w:tentative="0">
      <w:start w:val="1"/>
      <w:numFmt w:val="lowerRoman"/>
      <w:lvlText w:val="%6."/>
      <w:lvlJc w:val="right"/>
      <w:pPr>
        <w:tabs>
          <w:tab w:val="left" w:pos="2320"/>
        </w:tabs>
        <w:ind w:left="2320" w:hanging="420"/>
      </w:pPr>
    </w:lvl>
    <w:lvl w:ilvl="6" w:tentative="0">
      <w:start w:val="1"/>
      <w:numFmt w:val="decimal"/>
      <w:lvlText w:val="%7."/>
      <w:lvlJc w:val="left"/>
      <w:pPr>
        <w:tabs>
          <w:tab w:val="left" w:pos="2740"/>
        </w:tabs>
        <w:ind w:left="2740" w:hanging="420"/>
      </w:pPr>
    </w:lvl>
    <w:lvl w:ilvl="7" w:tentative="0">
      <w:start w:val="1"/>
      <w:numFmt w:val="lowerLetter"/>
      <w:lvlText w:val="%8)"/>
      <w:lvlJc w:val="left"/>
      <w:pPr>
        <w:tabs>
          <w:tab w:val="left" w:pos="3160"/>
        </w:tabs>
        <w:ind w:left="3160" w:hanging="420"/>
      </w:pPr>
    </w:lvl>
    <w:lvl w:ilvl="8" w:tentative="0">
      <w:start w:val="1"/>
      <w:numFmt w:val="lowerRoman"/>
      <w:lvlText w:val="%9."/>
      <w:lvlJc w:val="right"/>
      <w:pPr>
        <w:tabs>
          <w:tab w:val="left" w:pos="3580"/>
        </w:tabs>
        <w:ind w:left="3580" w:hanging="420"/>
      </w:pPr>
    </w:lvl>
  </w:abstractNum>
  <w:abstractNum w:abstractNumId="20">
    <w:nsid w:val="748A33E6"/>
    <w:multiLevelType w:val="multilevel"/>
    <w:tmpl w:val="748A33E6"/>
    <w:lvl w:ilvl="0" w:tentative="0">
      <w:start w:val="1"/>
      <w:numFmt w:val="chineseCountingThousand"/>
      <w:lvlText w:val="（%1）"/>
      <w:lvlJc w:val="left"/>
      <w:pPr>
        <w:ind w:left="1040" w:hanging="420"/>
      </w:pPr>
      <w:rPr>
        <w:rFonts w:hint="default" w:ascii="宋体" w:hAnsi="宋体" w:eastAsia="宋体"/>
        <w:b w:val="0"/>
        <w:color w:val="000000"/>
        <w:sz w:val="21"/>
        <w:szCs w:val="21"/>
      </w:rPr>
    </w:lvl>
    <w:lvl w:ilvl="1" w:tentative="0">
      <w:start w:val="1"/>
      <w:numFmt w:val="lowerLetter"/>
      <w:lvlText w:val="%2)"/>
      <w:lvlJc w:val="left"/>
      <w:pPr>
        <w:ind w:left="1460" w:hanging="420"/>
      </w:pPr>
    </w:lvl>
    <w:lvl w:ilvl="2" w:tentative="0">
      <w:start w:val="1"/>
      <w:numFmt w:val="chineseCountingThousand"/>
      <w:lvlText w:val="（%3）"/>
      <w:lvlJc w:val="left"/>
      <w:pPr>
        <w:ind w:left="0" w:firstLine="567"/>
      </w:pPr>
      <w:rPr>
        <w:rFonts w:hint="default" w:ascii="宋体" w:hAnsi="宋体" w:eastAsia="宋体"/>
        <w:b w:val="0"/>
        <w:color w:val="000000"/>
        <w:sz w:val="21"/>
        <w:szCs w:val="21"/>
      </w:r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21">
    <w:nsid w:val="75A87A47"/>
    <w:multiLevelType w:val="multilevel"/>
    <w:tmpl w:val="75A87A47"/>
    <w:lvl w:ilvl="0" w:tentative="0">
      <w:start w:val="1"/>
      <w:numFmt w:val="decimal"/>
      <w:lvlText w:val="%1."/>
      <w:lvlJc w:val="left"/>
      <w:pPr>
        <w:tabs>
          <w:tab w:val="left" w:pos="780"/>
        </w:tabs>
        <w:ind w:left="0" w:firstLine="420"/>
      </w:pPr>
      <w:rPr>
        <w:rFonts w:hint="default"/>
        <w:color w:val="000000"/>
      </w:rPr>
    </w:lvl>
    <w:lvl w:ilvl="1" w:tentative="0">
      <w:start w:val="1"/>
      <w:numFmt w:val="chineseCountingThousand"/>
      <w:lvlText w:val="%2、"/>
      <w:lvlJc w:val="left"/>
      <w:pPr>
        <w:tabs>
          <w:tab w:val="left" w:pos="737"/>
        </w:tabs>
        <w:ind w:left="0" w:firstLine="567"/>
      </w:pPr>
      <w:rPr>
        <w:rFonts w:hint="default"/>
        <w:b w:val="0"/>
        <w:color w:val="000000"/>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84258B4"/>
    <w:multiLevelType w:val="multilevel"/>
    <w:tmpl w:val="784258B4"/>
    <w:lvl w:ilvl="0" w:tentative="0">
      <w:start w:val="1"/>
      <w:numFmt w:val="japaneseCounting"/>
      <w:lvlText w:val="第%1条"/>
      <w:lvlJc w:val="left"/>
      <w:pPr>
        <w:tabs>
          <w:tab w:val="left" w:pos="1140"/>
        </w:tabs>
        <w:ind w:left="1140" w:hanging="720"/>
      </w:pPr>
      <w:rPr>
        <w:rFonts w:hint="eastAsia"/>
        <w:b/>
      </w:rPr>
    </w:lvl>
    <w:lvl w:ilvl="1" w:tentative="0">
      <w:start w:val="1"/>
      <w:numFmt w:val="decimal"/>
      <w:lvlText w:val="%2、"/>
      <w:lvlJc w:val="left"/>
      <w:pPr>
        <w:tabs>
          <w:tab w:val="left" w:pos="1260"/>
        </w:tabs>
        <w:ind w:left="1260" w:hanging="360"/>
      </w:pPr>
      <w:rPr>
        <w:rFonts w:hint="eastAsia"/>
        <w:b w:val="0"/>
        <w:color w:val="00000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1620"/>
        </w:tabs>
        <w:ind w:left="1620" w:hanging="360"/>
      </w:pPr>
      <w:rPr>
        <w:rFonts w:hint="default"/>
        <w:color w:val="000000"/>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1"/>
  </w:num>
  <w:num w:numId="2">
    <w:abstractNumId w:val="1"/>
  </w:num>
  <w:num w:numId="3">
    <w:abstractNumId w:val="6"/>
  </w:num>
  <w:num w:numId="4">
    <w:abstractNumId w:val="19"/>
  </w:num>
  <w:num w:numId="5">
    <w:abstractNumId w:val="2"/>
  </w:num>
  <w:num w:numId="6">
    <w:abstractNumId w:val="14"/>
  </w:num>
  <w:num w:numId="7">
    <w:abstractNumId w:val="12"/>
  </w:num>
  <w:num w:numId="8">
    <w:abstractNumId w:val="15"/>
  </w:num>
  <w:num w:numId="9">
    <w:abstractNumId w:val="8"/>
  </w:num>
  <w:num w:numId="10">
    <w:abstractNumId w:val="18"/>
  </w:num>
  <w:num w:numId="11">
    <w:abstractNumId w:val="5"/>
  </w:num>
  <w:num w:numId="12">
    <w:abstractNumId w:val="10"/>
  </w:num>
  <w:num w:numId="13">
    <w:abstractNumId w:val="13"/>
  </w:num>
  <w:num w:numId="14">
    <w:abstractNumId w:val="0"/>
  </w:num>
  <w:num w:numId="15">
    <w:abstractNumId w:val="20"/>
  </w:num>
  <w:num w:numId="16">
    <w:abstractNumId w:val="21"/>
  </w:num>
  <w:num w:numId="17">
    <w:abstractNumId w:val="7"/>
  </w:num>
  <w:num w:numId="18">
    <w:abstractNumId w:val="3"/>
  </w:num>
  <w:num w:numId="19">
    <w:abstractNumId w:val="22"/>
  </w:num>
  <w:num w:numId="20">
    <w:abstractNumId w:val="16"/>
  </w:num>
  <w:num w:numId="21">
    <w:abstractNumId w:val="17"/>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08F3"/>
    <w:rsid w:val="000002BF"/>
    <w:rsid w:val="00000C77"/>
    <w:rsid w:val="000015EA"/>
    <w:rsid w:val="000018B7"/>
    <w:rsid w:val="000025EA"/>
    <w:rsid w:val="00004178"/>
    <w:rsid w:val="00004216"/>
    <w:rsid w:val="000056D4"/>
    <w:rsid w:val="00005993"/>
    <w:rsid w:val="0000642A"/>
    <w:rsid w:val="0000750E"/>
    <w:rsid w:val="0000768A"/>
    <w:rsid w:val="000079B7"/>
    <w:rsid w:val="0001015F"/>
    <w:rsid w:val="00011133"/>
    <w:rsid w:val="00011E20"/>
    <w:rsid w:val="00012DB9"/>
    <w:rsid w:val="00013715"/>
    <w:rsid w:val="00013D5B"/>
    <w:rsid w:val="00014701"/>
    <w:rsid w:val="00015756"/>
    <w:rsid w:val="00017C73"/>
    <w:rsid w:val="00020F10"/>
    <w:rsid w:val="00022278"/>
    <w:rsid w:val="00023B66"/>
    <w:rsid w:val="0002461B"/>
    <w:rsid w:val="00025AD2"/>
    <w:rsid w:val="00026327"/>
    <w:rsid w:val="000267D1"/>
    <w:rsid w:val="00026F7F"/>
    <w:rsid w:val="000307DF"/>
    <w:rsid w:val="00030B62"/>
    <w:rsid w:val="000312BB"/>
    <w:rsid w:val="00034596"/>
    <w:rsid w:val="00034B35"/>
    <w:rsid w:val="00034E5D"/>
    <w:rsid w:val="00035E2B"/>
    <w:rsid w:val="000368BA"/>
    <w:rsid w:val="000408F0"/>
    <w:rsid w:val="00040BF4"/>
    <w:rsid w:val="000411BB"/>
    <w:rsid w:val="000435E8"/>
    <w:rsid w:val="00045490"/>
    <w:rsid w:val="0004598C"/>
    <w:rsid w:val="00046486"/>
    <w:rsid w:val="0004653D"/>
    <w:rsid w:val="00047051"/>
    <w:rsid w:val="00047850"/>
    <w:rsid w:val="00047FE8"/>
    <w:rsid w:val="000500DF"/>
    <w:rsid w:val="000508CD"/>
    <w:rsid w:val="00050BDC"/>
    <w:rsid w:val="00050C5F"/>
    <w:rsid w:val="00051CD1"/>
    <w:rsid w:val="000525A9"/>
    <w:rsid w:val="00053E9F"/>
    <w:rsid w:val="000542E1"/>
    <w:rsid w:val="000549DE"/>
    <w:rsid w:val="0005550A"/>
    <w:rsid w:val="00056406"/>
    <w:rsid w:val="00057CB4"/>
    <w:rsid w:val="00057ED5"/>
    <w:rsid w:val="000603B2"/>
    <w:rsid w:val="000603B5"/>
    <w:rsid w:val="0006066B"/>
    <w:rsid w:val="00060BEF"/>
    <w:rsid w:val="000615AB"/>
    <w:rsid w:val="0006175B"/>
    <w:rsid w:val="00061E27"/>
    <w:rsid w:val="00062685"/>
    <w:rsid w:val="0006424F"/>
    <w:rsid w:val="000648B4"/>
    <w:rsid w:val="0006518D"/>
    <w:rsid w:val="00065A85"/>
    <w:rsid w:val="00066804"/>
    <w:rsid w:val="000674DF"/>
    <w:rsid w:val="000713D2"/>
    <w:rsid w:val="0007230D"/>
    <w:rsid w:val="000723EC"/>
    <w:rsid w:val="00073114"/>
    <w:rsid w:val="0007566C"/>
    <w:rsid w:val="0007594C"/>
    <w:rsid w:val="000769A3"/>
    <w:rsid w:val="00077145"/>
    <w:rsid w:val="00077E5F"/>
    <w:rsid w:val="00081394"/>
    <w:rsid w:val="00083C90"/>
    <w:rsid w:val="00084259"/>
    <w:rsid w:val="00084B60"/>
    <w:rsid w:val="000858B2"/>
    <w:rsid w:val="00085BF2"/>
    <w:rsid w:val="000861A9"/>
    <w:rsid w:val="0008670B"/>
    <w:rsid w:val="0008695A"/>
    <w:rsid w:val="0008706C"/>
    <w:rsid w:val="0008794F"/>
    <w:rsid w:val="0008798F"/>
    <w:rsid w:val="00087EF2"/>
    <w:rsid w:val="00091C39"/>
    <w:rsid w:val="00092E7A"/>
    <w:rsid w:val="00093027"/>
    <w:rsid w:val="00093FC0"/>
    <w:rsid w:val="0009423F"/>
    <w:rsid w:val="00094B99"/>
    <w:rsid w:val="00094E7F"/>
    <w:rsid w:val="00095906"/>
    <w:rsid w:val="00096714"/>
    <w:rsid w:val="00097876"/>
    <w:rsid w:val="000A0F0E"/>
    <w:rsid w:val="000A1138"/>
    <w:rsid w:val="000A2B57"/>
    <w:rsid w:val="000A2D87"/>
    <w:rsid w:val="000A453A"/>
    <w:rsid w:val="000A54F8"/>
    <w:rsid w:val="000A6920"/>
    <w:rsid w:val="000A6B20"/>
    <w:rsid w:val="000A6D0A"/>
    <w:rsid w:val="000B1021"/>
    <w:rsid w:val="000B1E15"/>
    <w:rsid w:val="000B2384"/>
    <w:rsid w:val="000B2674"/>
    <w:rsid w:val="000B4859"/>
    <w:rsid w:val="000B48A9"/>
    <w:rsid w:val="000B55FB"/>
    <w:rsid w:val="000B6434"/>
    <w:rsid w:val="000B66EA"/>
    <w:rsid w:val="000B67E4"/>
    <w:rsid w:val="000B68BA"/>
    <w:rsid w:val="000B6B76"/>
    <w:rsid w:val="000C0903"/>
    <w:rsid w:val="000C1998"/>
    <w:rsid w:val="000C1B18"/>
    <w:rsid w:val="000C20DC"/>
    <w:rsid w:val="000C251A"/>
    <w:rsid w:val="000C2780"/>
    <w:rsid w:val="000C2830"/>
    <w:rsid w:val="000C33FB"/>
    <w:rsid w:val="000C365E"/>
    <w:rsid w:val="000C5013"/>
    <w:rsid w:val="000C5200"/>
    <w:rsid w:val="000C52B9"/>
    <w:rsid w:val="000D0043"/>
    <w:rsid w:val="000D05EC"/>
    <w:rsid w:val="000D145A"/>
    <w:rsid w:val="000D1BE6"/>
    <w:rsid w:val="000D1CCA"/>
    <w:rsid w:val="000D2811"/>
    <w:rsid w:val="000D29A6"/>
    <w:rsid w:val="000D2C02"/>
    <w:rsid w:val="000D37E6"/>
    <w:rsid w:val="000D386D"/>
    <w:rsid w:val="000D3C85"/>
    <w:rsid w:val="000D3E69"/>
    <w:rsid w:val="000D4C28"/>
    <w:rsid w:val="000D4D0A"/>
    <w:rsid w:val="000D5555"/>
    <w:rsid w:val="000D5784"/>
    <w:rsid w:val="000D7A8E"/>
    <w:rsid w:val="000E087E"/>
    <w:rsid w:val="000E1695"/>
    <w:rsid w:val="000E1897"/>
    <w:rsid w:val="000E1FC2"/>
    <w:rsid w:val="000E281B"/>
    <w:rsid w:val="000E398C"/>
    <w:rsid w:val="000E4919"/>
    <w:rsid w:val="000E59A3"/>
    <w:rsid w:val="000E5EAB"/>
    <w:rsid w:val="000E684E"/>
    <w:rsid w:val="000F0EEA"/>
    <w:rsid w:val="000F1043"/>
    <w:rsid w:val="000F1707"/>
    <w:rsid w:val="000F20B2"/>
    <w:rsid w:val="000F31B2"/>
    <w:rsid w:val="000F5567"/>
    <w:rsid w:val="000F5BD0"/>
    <w:rsid w:val="000F650B"/>
    <w:rsid w:val="000F785E"/>
    <w:rsid w:val="000F79A3"/>
    <w:rsid w:val="00100ACE"/>
    <w:rsid w:val="0010187A"/>
    <w:rsid w:val="00101AE3"/>
    <w:rsid w:val="00101FD7"/>
    <w:rsid w:val="001020FB"/>
    <w:rsid w:val="001022B6"/>
    <w:rsid w:val="00103F5E"/>
    <w:rsid w:val="0010603B"/>
    <w:rsid w:val="0010640C"/>
    <w:rsid w:val="00106A9B"/>
    <w:rsid w:val="00107AE9"/>
    <w:rsid w:val="00110403"/>
    <w:rsid w:val="0011139E"/>
    <w:rsid w:val="001113E9"/>
    <w:rsid w:val="00111CDE"/>
    <w:rsid w:val="00112B39"/>
    <w:rsid w:val="00114030"/>
    <w:rsid w:val="001141AA"/>
    <w:rsid w:val="001144BE"/>
    <w:rsid w:val="00115E4A"/>
    <w:rsid w:val="001162DF"/>
    <w:rsid w:val="00116641"/>
    <w:rsid w:val="00116D92"/>
    <w:rsid w:val="00116E2C"/>
    <w:rsid w:val="00120035"/>
    <w:rsid w:val="00120F20"/>
    <w:rsid w:val="0012133A"/>
    <w:rsid w:val="00121F16"/>
    <w:rsid w:val="001229C7"/>
    <w:rsid w:val="00122A89"/>
    <w:rsid w:val="00122B8B"/>
    <w:rsid w:val="00123F8A"/>
    <w:rsid w:val="00124030"/>
    <w:rsid w:val="0012608C"/>
    <w:rsid w:val="00126B09"/>
    <w:rsid w:val="00126D29"/>
    <w:rsid w:val="001275C4"/>
    <w:rsid w:val="00127BDC"/>
    <w:rsid w:val="001302FE"/>
    <w:rsid w:val="001306AE"/>
    <w:rsid w:val="00130E17"/>
    <w:rsid w:val="0013242B"/>
    <w:rsid w:val="00132943"/>
    <w:rsid w:val="00133CC3"/>
    <w:rsid w:val="00134DE7"/>
    <w:rsid w:val="00135C15"/>
    <w:rsid w:val="00135E80"/>
    <w:rsid w:val="0013689B"/>
    <w:rsid w:val="00136D0F"/>
    <w:rsid w:val="00136D9D"/>
    <w:rsid w:val="0014067E"/>
    <w:rsid w:val="00142745"/>
    <w:rsid w:val="00143000"/>
    <w:rsid w:val="001430C2"/>
    <w:rsid w:val="00143B80"/>
    <w:rsid w:val="00143F4B"/>
    <w:rsid w:val="00144243"/>
    <w:rsid w:val="001456E9"/>
    <w:rsid w:val="00145B8B"/>
    <w:rsid w:val="001463E7"/>
    <w:rsid w:val="00150745"/>
    <w:rsid w:val="0015094D"/>
    <w:rsid w:val="001514EE"/>
    <w:rsid w:val="0015160C"/>
    <w:rsid w:val="00151841"/>
    <w:rsid w:val="00151C4A"/>
    <w:rsid w:val="00152A34"/>
    <w:rsid w:val="00153A62"/>
    <w:rsid w:val="001546F6"/>
    <w:rsid w:val="001558CC"/>
    <w:rsid w:val="00155A41"/>
    <w:rsid w:val="00155D85"/>
    <w:rsid w:val="00156FD6"/>
    <w:rsid w:val="0016065D"/>
    <w:rsid w:val="0016234C"/>
    <w:rsid w:val="00165E11"/>
    <w:rsid w:val="001661ED"/>
    <w:rsid w:val="001667C0"/>
    <w:rsid w:val="001668E8"/>
    <w:rsid w:val="001675DF"/>
    <w:rsid w:val="00167BE3"/>
    <w:rsid w:val="00173620"/>
    <w:rsid w:val="00173AE8"/>
    <w:rsid w:val="0017463B"/>
    <w:rsid w:val="00174E34"/>
    <w:rsid w:val="00174E48"/>
    <w:rsid w:val="0017516B"/>
    <w:rsid w:val="001751C7"/>
    <w:rsid w:val="00181606"/>
    <w:rsid w:val="00181BE4"/>
    <w:rsid w:val="001847C8"/>
    <w:rsid w:val="00185160"/>
    <w:rsid w:val="0018557A"/>
    <w:rsid w:val="00186BB2"/>
    <w:rsid w:val="001872DD"/>
    <w:rsid w:val="00187F6C"/>
    <w:rsid w:val="00190D73"/>
    <w:rsid w:val="0019119D"/>
    <w:rsid w:val="0019234C"/>
    <w:rsid w:val="0019358B"/>
    <w:rsid w:val="0019394E"/>
    <w:rsid w:val="0019401E"/>
    <w:rsid w:val="001946E2"/>
    <w:rsid w:val="00194843"/>
    <w:rsid w:val="0019528F"/>
    <w:rsid w:val="00195A93"/>
    <w:rsid w:val="0019630D"/>
    <w:rsid w:val="00196320"/>
    <w:rsid w:val="00196EAA"/>
    <w:rsid w:val="00197784"/>
    <w:rsid w:val="00197925"/>
    <w:rsid w:val="001A056B"/>
    <w:rsid w:val="001A1226"/>
    <w:rsid w:val="001A191B"/>
    <w:rsid w:val="001A1A8C"/>
    <w:rsid w:val="001A26A9"/>
    <w:rsid w:val="001A43AA"/>
    <w:rsid w:val="001A46F0"/>
    <w:rsid w:val="001A58E5"/>
    <w:rsid w:val="001A629A"/>
    <w:rsid w:val="001A656A"/>
    <w:rsid w:val="001A758B"/>
    <w:rsid w:val="001A7F56"/>
    <w:rsid w:val="001B0359"/>
    <w:rsid w:val="001B1B14"/>
    <w:rsid w:val="001B1BA8"/>
    <w:rsid w:val="001B28DE"/>
    <w:rsid w:val="001B2B17"/>
    <w:rsid w:val="001B473E"/>
    <w:rsid w:val="001B4762"/>
    <w:rsid w:val="001B656E"/>
    <w:rsid w:val="001B6C07"/>
    <w:rsid w:val="001B6C45"/>
    <w:rsid w:val="001B7588"/>
    <w:rsid w:val="001B78F8"/>
    <w:rsid w:val="001C05D2"/>
    <w:rsid w:val="001C06B8"/>
    <w:rsid w:val="001C1063"/>
    <w:rsid w:val="001C148C"/>
    <w:rsid w:val="001C16D6"/>
    <w:rsid w:val="001C19C4"/>
    <w:rsid w:val="001C2EBC"/>
    <w:rsid w:val="001C463D"/>
    <w:rsid w:val="001C5698"/>
    <w:rsid w:val="001C5E70"/>
    <w:rsid w:val="001C78FE"/>
    <w:rsid w:val="001C7D75"/>
    <w:rsid w:val="001D0F9E"/>
    <w:rsid w:val="001D140C"/>
    <w:rsid w:val="001D1990"/>
    <w:rsid w:val="001D2564"/>
    <w:rsid w:val="001D38D3"/>
    <w:rsid w:val="001D38F8"/>
    <w:rsid w:val="001D3AB2"/>
    <w:rsid w:val="001D3D96"/>
    <w:rsid w:val="001D5684"/>
    <w:rsid w:val="001D5940"/>
    <w:rsid w:val="001D5EBB"/>
    <w:rsid w:val="001D6099"/>
    <w:rsid w:val="001D618E"/>
    <w:rsid w:val="001D634F"/>
    <w:rsid w:val="001D6791"/>
    <w:rsid w:val="001D78C8"/>
    <w:rsid w:val="001D79D1"/>
    <w:rsid w:val="001E0209"/>
    <w:rsid w:val="001E1867"/>
    <w:rsid w:val="001E1B97"/>
    <w:rsid w:val="001E1BB4"/>
    <w:rsid w:val="001E27CF"/>
    <w:rsid w:val="001E29A9"/>
    <w:rsid w:val="001E3A52"/>
    <w:rsid w:val="001E78B2"/>
    <w:rsid w:val="001E7E75"/>
    <w:rsid w:val="001F0442"/>
    <w:rsid w:val="001F06EF"/>
    <w:rsid w:val="001F1BB1"/>
    <w:rsid w:val="001F2595"/>
    <w:rsid w:val="001F5BE9"/>
    <w:rsid w:val="001F6B0F"/>
    <w:rsid w:val="001F6B10"/>
    <w:rsid w:val="00200FDF"/>
    <w:rsid w:val="00202136"/>
    <w:rsid w:val="002034B4"/>
    <w:rsid w:val="00204F77"/>
    <w:rsid w:val="00205345"/>
    <w:rsid w:val="00205B9F"/>
    <w:rsid w:val="0020663A"/>
    <w:rsid w:val="00206891"/>
    <w:rsid w:val="00206FEF"/>
    <w:rsid w:val="00207283"/>
    <w:rsid w:val="0020782D"/>
    <w:rsid w:val="00207971"/>
    <w:rsid w:val="00210609"/>
    <w:rsid w:val="0021461D"/>
    <w:rsid w:val="0021462D"/>
    <w:rsid w:val="00214E5D"/>
    <w:rsid w:val="00214F59"/>
    <w:rsid w:val="00215DA8"/>
    <w:rsid w:val="00215DE3"/>
    <w:rsid w:val="00217DAF"/>
    <w:rsid w:val="00217E5B"/>
    <w:rsid w:val="002211AA"/>
    <w:rsid w:val="00221723"/>
    <w:rsid w:val="00221A56"/>
    <w:rsid w:val="00222C4E"/>
    <w:rsid w:val="002230A0"/>
    <w:rsid w:val="0022411A"/>
    <w:rsid w:val="0022565C"/>
    <w:rsid w:val="00225C73"/>
    <w:rsid w:val="0022704B"/>
    <w:rsid w:val="00230200"/>
    <w:rsid w:val="002325F1"/>
    <w:rsid w:val="0023274D"/>
    <w:rsid w:val="0023283B"/>
    <w:rsid w:val="00232905"/>
    <w:rsid w:val="00233E3E"/>
    <w:rsid w:val="002353A7"/>
    <w:rsid w:val="002357CC"/>
    <w:rsid w:val="00235847"/>
    <w:rsid w:val="00236876"/>
    <w:rsid w:val="00242B8C"/>
    <w:rsid w:val="00243ED7"/>
    <w:rsid w:val="0024428E"/>
    <w:rsid w:val="002446D0"/>
    <w:rsid w:val="002449F8"/>
    <w:rsid w:val="00244FFC"/>
    <w:rsid w:val="00245CFA"/>
    <w:rsid w:val="00246532"/>
    <w:rsid w:val="00246B3B"/>
    <w:rsid w:val="00246F2D"/>
    <w:rsid w:val="00247754"/>
    <w:rsid w:val="0024792C"/>
    <w:rsid w:val="00247997"/>
    <w:rsid w:val="00247B57"/>
    <w:rsid w:val="0025020F"/>
    <w:rsid w:val="00250DCF"/>
    <w:rsid w:val="002515D7"/>
    <w:rsid w:val="00253209"/>
    <w:rsid w:val="00253A9D"/>
    <w:rsid w:val="002545AD"/>
    <w:rsid w:val="002545C0"/>
    <w:rsid w:val="00254BD3"/>
    <w:rsid w:val="00254E6A"/>
    <w:rsid w:val="002563A6"/>
    <w:rsid w:val="002576DE"/>
    <w:rsid w:val="00261595"/>
    <w:rsid w:val="00261825"/>
    <w:rsid w:val="002627D3"/>
    <w:rsid w:val="00262D18"/>
    <w:rsid w:val="00262D3C"/>
    <w:rsid w:val="00262FD7"/>
    <w:rsid w:val="00263070"/>
    <w:rsid w:val="00264730"/>
    <w:rsid w:val="00264C38"/>
    <w:rsid w:val="00265742"/>
    <w:rsid w:val="00265850"/>
    <w:rsid w:val="0026597B"/>
    <w:rsid w:val="00265AD1"/>
    <w:rsid w:val="0027043C"/>
    <w:rsid w:val="002718F5"/>
    <w:rsid w:val="00272472"/>
    <w:rsid w:val="0027253A"/>
    <w:rsid w:val="0027298D"/>
    <w:rsid w:val="00272B38"/>
    <w:rsid w:val="00273393"/>
    <w:rsid w:val="002736AB"/>
    <w:rsid w:val="002743CD"/>
    <w:rsid w:val="00275581"/>
    <w:rsid w:val="0027567B"/>
    <w:rsid w:val="002757FC"/>
    <w:rsid w:val="0028014A"/>
    <w:rsid w:val="0028077F"/>
    <w:rsid w:val="002811C4"/>
    <w:rsid w:val="00282BD5"/>
    <w:rsid w:val="00282C92"/>
    <w:rsid w:val="00283011"/>
    <w:rsid w:val="0028400A"/>
    <w:rsid w:val="002841E6"/>
    <w:rsid w:val="00284DCF"/>
    <w:rsid w:val="00285DC8"/>
    <w:rsid w:val="00286411"/>
    <w:rsid w:val="00287182"/>
    <w:rsid w:val="00290141"/>
    <w:rsid w:val="00291A63"/>
    <w:rsid w:val="0029272E"/>
    <w:rsid w:val="00293810"/>
    <w:rsid w:val="00293858"/>
    <w:rsid w:val="00293DC8"/>
    <w:rsid w:val="00294663"/>
    <w:rsid w:val="00295420"/>
    <w:rsid w:val="00297AAE"/>
    <w:rsid w:val="002A06C5"/>
    <w:rsid w:val="002A0909"/>
    <w:rsid w:val="002A0EA1"/>
    <w:rsid w:val="002A33C1"/>
    <w:rsid w:val="002A4453"/>
    <w:rsid w:val="002A4F4E"/>
    <w:rsid w:val="002A53B9"/>
    <w:rsid w:val="002A53C9"/>
    <w:rsid w:val="002A56F6"/>
    <w:rsid w:val="002A5741"/>
    <w:rsid w:val="002A5A77"/>
    <w:rsid w:val="002A7BB4"/>
    <w:rsid w:val="002B4C3B"/>
    <w:rsid w:val="002B5651"/>
    <w:rsid w:val="002B60C2"/>
    <w:rsid w:val="002B63BF"/>
    <w:rsid w:val="002B7330"/>
    <w:rsid w:val="002C00A7"/>
    <w:rsid w:val="002C0C52"/>
    <w:rsid w:val="002C0FB1"/>
    <w:rsid w:val="002C132B"/>
    <w:rsid w:val="002C25F3"/>
    <w:rsid w:val="002C37D4"/>
    <w:rsid w:val="002C3B63"/>
    <w:rsid w:val="002C5548"/>
    <w:rsid w:val="002C601D"/>
    <w:rsid w:val="002C7040"/>
    <w:rsid w:val="002D06C7"/>
    <w:rsid w:val="002D1D35"/>
    <w:rsid w:val="002D1F41"/>
    <w:rsid w:val="002D2336"/>
    <w:rsid w:val="002D2732"/>
    <w:rsid w:val="002D2BC1"/>
    <w:rsid w:val="002D33C9"/>
    <w:rsid w:val="002D3728"/>
    <w:rsid w:val="002D3FDF"/>
    <w:rsid w:val="002D41E8"/>
    <w:rsid w:val="002D42AC"/>
    <w:rsid w:val="002D521D"/>
    <w:rsid w:val="002D56FB"/>
    <w:rsid w:val="002D5B3E"/>
    <w:rsid w:val="002D63AC"/>
    <w:rsid w:val="002D6CC8"/>
    <w:rsid w:val="002D7963"/>
    <w:rsid w:val="002D7F23"/>
    <w:rsid w:val="002E0EE7"/>
    <w:rsid w:val="002E1C84"/>
    <w:rsid w:val="002E24D7"/>
    <w:rsid w:val="002E4243"/>
    <w:rsid w:val="002E6CC5"/>
    <w:rsid w:val="002E6E84"/>
    <w:rsid w:val="002E7165"/>
    <w:rsid w:val="002F02CA"/>
    <w:rsid w:val="002F2E71"/>
    <w:rsid w:val="002F33F4"/>
    <w:rsid w:val="002F37B8"/>
    <w:rsid w:val="002F3E16"/>
    <w:rsid w:val="002F4913"/>
    <w:rsid w:val="002F5050"/>
    <w:rsid w:val="002F58E9"/>
    <w:rsid w:val="002F647E"/>
    <w:rsid w:val="002F6EAB"/>
    <w:rsid w:val="002F7133"/>
    <w:rsid w:val="00300927"/>
    <w:rsid w:val="00300D61"/>
    <w:rsid w:val="003014B9"/>
    <w:rsid w:val="00301767"/>
    <w:rsid w:val="003020B8"/>
    <w:rsid w:val="0030296E"/>
    <w:rsid w:val="00302B35"/>
    <w:rsid w:val="00303CDC"/>
    <w:rsid w:val="0030462B"/>
    <w:rsid w:val="00304BFA"/>
    <w:rsid w:val="003055EE"/>
    <w:rsid w:val="00306A73"/>
    <w:rsid w:val="00307B1C"/>
    <w:rsid w:val="003105A7"/>
    <w:rsid w:val="00311960"/>
    <w:rsid w:val="003119A2"/>
    <w:rsid w:val="00312914"/>
    <w:rsid w:val="003147CC"/>
    <w:rsid w:val="0031774E"/>
    <w:rsid w:val="00320347"/>
    <w:rsid w:val="00320444"/>
    <w:rsid w:val="00320669"/>
    <w:rsid w:val="00321F20"/>
    <w:rsid w:val="003224D8"/>
    <w:rsid w:val="003227FD"/>
    <w:rsid w:val="003229CC"/>
    <w:rsid w:val="00323B74"/>
    <w:rsid w:val="003270A0"/>
    <w:rsid w:val="00327A50"/>
    <w:rsid w:val="00327DF1"/>
    <w:rsid w:val="00332593"/>
    <w:rsid w:val="00334754"/>
    <w:rsid w:val="0033595E"/>
    <w:rsid w:val="0033655A"/>
    <w:rsid w:val="00337481"/>
    <w:rsid w:val="003378A1"/>
    <w:rsid w:val="003403AF"/>
    <w:rsid w:val="003406C3"/>
    <w:rsid w:val="00340E73"/>
    <w:rsid w:val="00340ED5"/>
    <w:rsid w:val="003420D3"/>
    <w:rsid w:val="00342DA2"/>
    <w:rsid w:val="003439F8"/>
    <w:rsid w:val="00343D8B"/>
    <w:rsid w:val="003449CD"/>
    <w:rsid w:val="003451D2"/>
    <w:rsid w:val="003464FA"/>
    <w:rsid w:val="003473D4"/>
    <w:rsid w:val="00350564"/>
    <w:rsid w:val="0035158F"/>
    <w:rsid w:val="003526CD"/>
    <w:rsid w:val="0035275B"/>
    <w:rsid w:val="0035296E"/>
    <w:rsid w:val="00352F10"/>
    <w:rsid w:val="00355E0D"/>
    <w:rsid w:val="00356222"/>
    <w:rsid w:val="00356286"/>
    <w:rsid w:val="0035674C"/>
    <w:rsid w:val="00356D58"/>
    <w:rsid w:val="00361756"/>
    <w:rsid w:val="00361A66"/>
    <w:rsid w:val="003625D1"/>
    <w:rsid w:val="00362BBA"/>
    <w:rsid w:val="00363490"/>
    <w:rsid w:val="003653DD"/>
    <w:rsid w:val="00367CFB"/>
    <w:rsid w:val="003710CB"/>
    <w:rsid w:val="003712D1"/>
    <w:rsid w:val="0037204F"/>
    <w:rsid w:val="003729D6"/>
    <w:rsid w:val="003740D1"/>
    <w:rsid w:val="0037503F"/>
    <w:rsid w:val="003757B3"/>
    <w:rsid w:val="00375CC1"/>
    <w:rsid w:val="00376808"/>
    <w:rsid w:val="00377B87"/>
    <w:rsid w:val="0038131B"/>
    <w:rsid w:val="00381C0C"/>
    <w:rsid w:val="003827D5"/>
    <w:rsid w:val="00382B19"/>
    <w:rsid w:val="00382D64"/>
    <w:rsid w:val="003837CC"/>
    <w:rsid w:val="003839C1"/>
    <w:rsid w:val="00383AD4"/>
    <w:rsid w:val="00385417"/>
    <w:rsid w:val="00385D8C"/>
    <w:rsid w:val="0038672A"/>
    <w:rsid w:val="00390C3C"/>
    <w:rsid w:val="00390D07"/>
    <w:rsid w:val="00390DFE"/>
    <w:rsid w:val="003923EF"/>
    <w:rsid w:val="0039277B"/>
    <w:rsid w:val="00392973"/>
    <w:rsid w:val="003929FF"/>
    <w:rsid w:val="0039424F"/>
    <w:rsid w:val="00395341"/>
    <w:rsid w:val="00395647"/>
    <w:rsid w:val="00396454"/>
    <w:rsid w:val="00397181"/>
    <w:rsid w:val="003A0E75"/>
    <w:rsid w:val="003A35DA"/>
    <w:rsid w:val="003A3B9F"/>
    <w:rsid w:val="003A3EC4"/>
    <w:rsid w:val="003A40D2"/>
    <w:rsid w:val="003A4CC2"/>
    <w:rsid w:val="003A5696"/>
    <w:rsid w:val="003A5C51"/>
    <w:rsid w:val="003A68A3"/>
    <w:rsid w:val="003B0432"/>
    <w:rsid w:val="003B0472"/>
    <w:rsid w:val="003B0CF1"/>
    <w:rsid w:val="003B0FFC"/>
    <w:rsid w:val="003B2043"/>
    <w:rsid w:val="003B22E6"/>
    <w:rsid w:val="003B3452"/>
    <w:rsid w:val="003B39E1"/>
    <w:rsid w:val="003B4770"/>
    <w:rsid w:val="003B4B60"/>
    <w:rsid w:val="003B4C34"/>
    <w:rsid w:val="003B59FC"/>
    <w:rsid w:val="003B657D"/>
    <w:rsid w:val="003B7D0C"/>
    <w:rsid w:val="003C0157"/>
    <w:rsid w:val="003C02C6"/>
    <w:rsid w:val="003C08F3"/>
    <w:rsid w:val="003C2457"/>
    <w:rsid w:val="003C2C5C"/>
    <w:rsid w:val="003C3166"/>
    <w:rsid w:val="003C3D4B"/>
    <w:rsid w:val="003C513A"/>
    <w:rsid w:val="003C6B34"/>
    <w:rsid w:val="003C6FB7"/>
    <w:rsid w:val="003D0282"/>
    <w:rsid w:val="003D06B4"/>
    <w:rsid w:val="003D087D"/>
    <w:rsid w:val="003D0AC9"/>
    <w:rsid w:val="003D0E5B"/>
    <w:rsid w:val="003D1830"/>
    <w:rsid w:val="003D1A17"/>
    <w:rsid w:val="003D210D"/>
    <w:rsid w:val="003D27B3"/>
    <w:rsid w:val="003D3CA8"/>
    <w:rsid w:val="003D509B"/>
    <w:rsid w:val="003D52F6"/>
    <w:rsid w:val="003D5F7C"/>
    <w:rsid w:val="003D6307"/>
    <w:rsid w:val="003D646A"/>
    <w:rsid w:val="003D7397"/>
    <w:rsid w:val="003D7FDE"/>
    <w:rsid w:val="003E0638"/>
    <w:rsid w:val="003E0B35"/>
    <w:rsid w:val="003E0E3E"/>
    <w:rsid w:val="003E15F5"/>
    <w:rsid w:val="003E17E8"/>
    <w:rsid w:val="003E1810"/>
    <w:rsid w:val="003E1EE3"/>
    <w:rsid w:val="003E2267"/>
    <w:rsid w:val="003E25C5"/>
    <w:rsid w:val="003E26FE"/>
    <w:rsid w:val="003E28B1"/>
    <w:rsid w:val="003E3926"/>
    <w:rsid w:val="003E3F63"/>
    <w:rsid w:val="003E69CD"/>
    <w:rsid w:val="003E6BF6"/>
    <w:rsid w:val="003E6CE8"/>
    <w:rsid w:val="003F00C0"/>
    <w:rsid w:val="003F0A6C"/>
    <w:rsid w:val="003F0A79"/>
    <w:rsid w:val="003F0D3D"/>
    <w:rsid w:val="003F0E86"/>
    <w:rsid w:val="003F0F2A"/>
    <w:rsid w:val="003F141E"/>
    <w:rsid w:val="003F2217"/>
    <w:rsid w:val="003F2F92"/>
    <w:rsid w:val="003F32CF"/>
    <w:rsid w:val="003F3B82"/>
    <w:rsid w:val="003F3D5F"/>
    <w:rsid w:val="003F4EEA"/>
    <w:rsid w:val="003F52FE"/>
    <w:rsid w:val="003F53C2"/>
    <w:rsid w:val="00400C0B"/>
    <w:rsid w:val="00401AEC"/>
    <w:rsid w:val="00402D04"/>
    <w:rsid w:val="00402EB3"/>
    <w:rsid w:val="004033D3"/>
    <w:rsid w:val="00403924"/>
    <w:rsid w:val="0040512D"/>
    <w:rsid w:val="00406671"/>
    <w:rsid w:val="00407140"/>
    <w:rsid w:val="00407A7A"/>
    <w:rsid w:val="004115D1"/>
    <w:rsid w:val="00412A98"/>
    <w:rsid w:val="00413123"/>
    <w:rsid w:val="00413E0A"/>
    <w:rsid w:val="00413FA2"/>
    <w:rsid w:val="00415025"/>
    <w:rsid w:val="00415470"/>
    <w:rsid w:val="0041586D"/>
    <w:rsid w:val="004160A6"/>
    <w:rsid w:val="0041737C"/>
    <w:rsid w:val="00417EF7"/>
    <w:rsid w:val="00417FD7"/>
    <w:rsid w:val="00420D37"/>
    <w:rsid w:val="004227C1"/>
    <w:rsid w:val="00422E4E"/>
    <w:rsid w:val="0042341E"/>
    <w:rsid w:val="0042564F"/>
    <w:rsid w:val="00426A15"/>
    <w:rsid w:val="004276AC"/>
    <w:rsid w:val="00427A99"/>
    <w:rsid w:val="00430695"/>
    <w:rsid w:val="00430CD9"/>
    <w:rsid w:val="004319C0"/>
    <w:rsid w:val="00431BD5"/>
    <w:rsid w:val="00433411"/>
    <w:rsid w:val="004341D9"/>
    <w:rsid w:val="004348C9"/>
    <w:rsid w:val="0043558D"/>
    <w:rsid w:val="00436464"/>
    <w:rsid w:val="00436E84"/>
    <w:rsid w:val="00437160"/>
    <w:rsid w:val="00437ACB"/>
    <w:rsid w:val="00437CFC"/>
    <w:rsid w:val="00437D7D"/>
    <w:rsid w:val="00440933"/>
    <w:rsid w:val="00441EE5"/>
    <w:rsid w:val="00441F85"/>
    <w:rsid w:val="00442902"/>
    <w:rsid w:val="00442E1E"/>
    <w:rsid w:val="00442FDC"/>
    <w:rsid w:val="00444066"/>
    <w:rsid w:val="0044470E"/>
    <w:rsid w:val="00444A7D"/>
    <w:rsid w:val="00444B4B"/>
    <w:rsid w:val="004473BE"/>
    <w:rsid w:val="00450374"/>
    <w:rsid w:val="0045101A"/>
    <w:rsid w:val="00451C83"/>
    <w:rsid w:val="00454F2A"/>
    <w:rsid w:val="00455CFC"/>
    <w:rsid w:val="00457702"/>
    <w:rsid w:val="00457808"/>
    <w:rsid w:val="004600CF"/>
    <w:rsid w:val="0046021A"/>
    <w:rsid w:val="00460486"/>
    <w:rsid w:val="00461B8E"/>
    <w:rsid w:val="004621F5"/>
    <w:rsid w:val="004622BE"/>
    <w:rsid w:val="00462A7D"/>
    <w:rsid w:val="00462C74"/>
    <w:rsid w:val="00462C78"/>
    <w:rsid w:val="00463AA6"/>
    <w:rsid w:val="00464184"/>
    <w:rsid w:val="004641E5"/>
    <w:rsid w:val="004659C7"/>
    <w:rsid w:val="00465D24"/>
    <w:rsid w:val="00466FF2"/>
    <w:rsid w:val="00467073"/>
    <w:rsid w:val="0047076F"/>
    <w:rsid w:val="004707E4"/>
    <w:rsid w:val="00470B12"/>
    <w:rsid w:val="00471270"/>
    <w:rsid w:val="00473CEC"/>
    <w:rsid w:val="00474EE3"/>
    <w:rsid w:val="00475C17"/>
    <w:rsid w:val="00476A69"/>
    <w:rsid w:val="00476CA8"/>
    <w:rsid w:val="00477AF3"/>
    <w:rsid w:val="0048120F"/>
    <w:rsid w:val="00481297"/>
    <w:rsid w:val="0048166C"/>
    <w:rsid w:val="004817A9"/>
    <w:rsid w:val="00482B74"/>
    <w:rsid w:val="0048350D"/>
    <w:rsid w:val="004837F6"/>
    <w:rsid w:val="004847BF"/>
    <w:rsid w:val="00484AB7"/>
    <w:rsid w:val="00484D46"/>
    <w:rsid w:val="0048557D"/>
    <w:rsid w:val="00486BAA"/>
    <w:rsid w:val="00490289"/>
    <w:rsid w:val="00490824"/>
    <w:rsid w:val="004922CF"/>
    <w:rsid w:val="004928B9"/>
    <w:rsid w:val="00492925"/>
    <w:rsid w:val="00492BFE"/>
    <w:rsid w:val="004938CF"/>
    <w:rsid w:val="00496377"/>
    <w:rsid w:val="00496DA7"/>
    <w:rsid w:val="00496FF9"/>
    <w:rsid w:val="00497075"/>
    <w:rsid w:val="004A1533"/>
    <w:rsid w:val="004A16EC"/>
    <w:rsid w:val="004A1F41"/>
    <w:rsid w:val="004A1FAD"/>
    <w:rsid w:val="004A21D3"/>
    <w:rsid w:val="004A2D0C"/>
    <w:rsid w:val="004A6396"/>
    <w:rsid w:val="004A6919"/>
    <w:rsid w:val="004A6B65"/>
    <w:rsid w:val="004A72D5"/>
    <w:rsid w:val="004A7BBB"/>
    <w:rsid w:val="004B0720"/>
    <w:rsid w:val="004B139A"/>
    <w:rsid w:val="004B13B5"/>
    <w:rsid w:val="004B2A89"/>
    <w:rsid w:val="004B34C2"/>
    <w:rsid w:val="004B3650"/>
    <w:rsid w:val="004B44E9"/>
    <w:rsid w:val="004B5FE6"/>
    <w:rsid w:val="004B68E8"/>
    <w:rsid w:val="004B6AB2"/>
    <w:rsid w:val="004B71AD"/>
    <w:rsid w:val="004B7771"/>
    <w:rsid w:val="004B7A53"/>
    <w:rsid w:val="004C03E0"/>
    <w:rsid w:val="004C0789"/>
    <w:rsid w:val="004C229C"/>
    <w:rsid w:val="004C2994"/>
    <w:rsid w:val="004C2D9B"/>
    <w:rsid w:val="004C32B2"/>
    <w:rsid w:val="004C3B3B"/>
    <w:rsid w:val="004C4380"/>
    <w:rsid w:val="004C47C8"/>
    <w:rsid w:val="004C49DC"/>
    <w:rsid w:val="004C60AA"/>
    <w:rsid w:val="004C7475"/>
    <w:rsid w:val="004C7499"/>
    <w:rsid w:val="004C7773"/>
    <w:rsid w:val="004D000F"/>
    <w:rsid w:val="004D04FE"/>
    <w:rsid w:val="004D05A2"/>
    <w:rsid w:val="004D11F1"/>
    <w:rsid w:val="004D252B"/>
    <w:rsid w:val="004D2CCB"/>
    <w:rsid w:val="004D4107"/>
    <w:rsid w:val="004D56B3"/>
    <w:rsid w:val="004D5DE8"/>
    <w:rsid w:val="004D6964"/>
    <w:rsid w:val="004D6A0D"/>
    <w:rsid w:val="004D7299"/>
    <w:rsid w:val="004D78A8"/>
    <w:rsid w:val="004E00E2"/>
    <w:rsid w:val="004E2025"/>
    <w:rsid w:val="004E22CE"/>
    <w:rsid w:val="004E2972"/>
    <w:rsid w:val="004E799E"/>
    <w:rsid w:val="004F01CF"/>
    <w:rsid w:val="004F10B7"/>
    <w:rsid w:val="004F1C2C"/>
    <w:rsid w:val="004F2021"/>
    <w:rsid w:val="004F33A2"/>
    <w:rsid w:val="004F34B2"/>
    <w:rsid w:val="004F37C1"/>
    <w:rsid w:val="004F42FC"/>
    <w:rsid w:val="0050010A"/>
    <w:rsid w:val="00500A8D"/>
    <w:rsid w:val="005018BC"/>
    <w:rsid w:val="00501A36"/>
    <w:rsid w:val="00501E1C"/>
    <w:rsid w:val="0050281B"/>
    <w:rsid w:val="005030B3"/>
    <w:rsid w:val="005033C5"/>
    <w:rsid w:val="00503B42"/>
    <w:rsid w:val="00506EF9"/>
    <w:rsid w:val="005071D8"/>
    <w:rsid w:val="00507EA4"/>
    <w:rsid w:val="00510304"/>
    <w:rsid w:val="0051192A"/>
    <w:rsid w:val="00511CFF"/>
    <w:rsid w:val="00512618"/>
    <w:rsid w:val="00513065"/>
    <w:rsid w:val="00514266"/>
    <w:rsid w:val="005142A9"/>
    <w:rsid w:val="0051449A"/>
    <w:rsid w:val="0051477A"/>
    <w:rsid w:val="00515101"/>
    <w:rsid w:val="0051755C"/>
    <w:rsid w:val="005205C4"/>
    <w:rsid w:val="0052170C"/>
    <w:rsid w:val="005223B2"/>
    <w:rsid w:val="00524CB8"/>
    <w:rsid w:val="0052551C"/>
    <w:rsid w:val="00526EB4"/>
    <w:rsid w:val="0053307D"/>
    <w:rsid w:val="0053307F"/>
    <w:rsid w:val="005333C2"/>
    <w:rsid w:val="005340E1"/>
    <w:rsid w:val="005342D2"/>
    <w:rsid w:val="00534CC4"/>
    <w:rsid w:val="00536245"/>
    <w:rsid w:val="0053629F"/>
    <w:rsid w:val="00536A32"/>
    <w:rsid w:val="00536EA2"/>
    <w:rsid w:val="00537406"/>
    <w:rsid w:val="00537E07"/>
    <w:rsid w:val="00537EB4"/>
    <w:rsid w:val="005416EA"/>
    <w:rsid w:val="00541EC2"/>
    <w:rsid w:val="00541F35"/>
    <w:rsid w:val="00543D04"/>
    <w:rsid w:val="005442A7"/>
    <w:rsid w:val="0054438C"/>
    <w:rsid w:val="005448FF"/>
    <w:rsid w:val="00544EA6"/>
    <w:rsid w:val="005450CE"/>
    <w:rsid w:val="005456D7"/>
    <w:rsid w:val="00545FC2"/>
    <w:rsid w:val="005460D5"/>
    <w:rsid w:val="00546E1C"/>
    <w:rsid w:val="00546E60"/>
    <w:rsid w:val="005472C2"/>
    <w:rsid w:val="00547DC1"/>
    <w:rsid w:val="00550D99"/>
    <w:rsid w:val="0055120F"/>
    <w:rsid w:val="0055143D"/>
    <w:rsid w:val="005516E4"/>
    <w:rsid w:val="00551914"/>
    <w:rsid w:val="00551A77"/>
    <w:rsid w:val="0055331D"/>
    <w:rsid w:val="005536B8"/>
    <w:rsid w:val="0055469C"/>
    <w:rsid w:val="0055593F"/>
    <w:rsid w:val="00560F63"/>
    <w:rsid w:val="00561C93"/>
    <w:rsid w:val="00564849"/>
    <w:rsid w:val="005649CD"/>
    <w:rsid w:val="00565968"/>
    <w:rsid w:val="00566176"/>
    <w:rsid w:val="0056673B"/>
    <w:rsid w:val="00567317"/>
    <w:rsid w:val="00571BDB"/>
    <w:rsid w:val="00571DB2"/>
    <w:rsid w:val="005723A3"/>
    <w:rsid w:val="00572524"/>
    <w:rsid w:val="005729A9"/>
    <w:rsid w:val="00572BC9"/>
    <w:rsid w:val="00572F30"/>
    <w:rsid w:val="00575675"/>
    <w:rsid w:val="0057604B"/>
    <w:rsid w:val="005768E2"/>
    <w:rsid w:val="005773F4"/>
    <w:rsid w:val="00577737"/>
    <w:rsid w:val="00580445"/>
    <w:rsid w:val="00581C90"/>
    <w:rsid w:val="00581D98"/>
    <w:rsid w:val="00582FCD"/>
    <w:rsid w:val="00583088"/>
    <w:rsid w:val="005847ED"/>
    <w:rsid w:val="005849A3"/>
    <w:rsid w:val="00584DC6"/>
    <w:rsid w:val="00585E7B"/>
    <w:rsid w:val="005865E0"/>
    <w:rsid w:val="0058706E"/>
    <w:rsid w:val="005902FB"/>
    <w:rsid w:val="00590D54"/>
    <w:rsid w:val="00590DFD"/>
    <w:rsid w:val="00590E06"/>
    <w:rsid w:val="005910C8"/>
    <w:rsid w:val="0059159E"/>
    <w:rsid w:val="005916CC"/>
    <w:rsid w:val="005922B5"/>
    <w:rsid w:val="00592A0D"/>
    <w:rsid w:val="00593020"/>
    <w:rsid w:val="0059484E"/>
    <w:rsid w:val="00594B3A"/>
    <w:rsid w:val="00594FDF"/>
    <w:rsid w:val="00595909"/>
    <w:rsid w:val="005966D5"/>
    <w:rsid w:val="00597D58"/>
    <w:rsid w:val="00597F12"/>
    <w:rsid w:val="005A035C"/>
    <w:rsid w:val="005A0C4A"/>
    <w:rsid w:val="005A1220"/>
    <w:rsid w:val="005A188A"/>
    <w:rsid w:val="005A2AB2"/>
    <w:rsid w:val="005A5833"/>
    <w:rsid w:val="005A5C23"/>
    <w:rsid w:val="005A7625"/>
    <w:rsid w:val="005A7668"/>
    <w:rsid w:val="005A7DA6"/>
    <w:rsid w:val="005B03EE"/>
    <w:rsid w:val="005B0ACA"/>
    <w:rsid w:val="005B0D11"/>
    <w:rsid w:val="005B0E38"/>
    <w:rsid w:val="005B12B8"/>
    <w:rsid w:val="005B25C9"/>
    <w:rsid w:val="005B2D01"/>
    <w:rsid w:val="005B35F8"/>
    <w:rsid w:val="005B3EF1"/>
    <w:rsid w:val="005B5B40"/>
    <w:rsid w:val="005B65C1"/>
    <w:rsid w:val="005B6B96"/>
    <w:rsid w:val="005B73E4"/>
    <w:rsid w:val="005B79DE"/>
    <w:rsid w:val="005C0C47"/>
    <w:rsid w:val="005C1803"/>
    <w:rsid w:val="005C1A4C"/>
    <w:rsid w:val="005C1E59"/>
    <w:rsid w:val="005C20F2"/>
    <w:rsid w:val="005C31C5"/>
    <w:rsid w:val="005C3323"/>
    <w:rsid w:val="005C5C4E"/>
    <w:rsid w:val="005C6C23"/>
    <w:rsid w:val="005C6F16"/>
    <w:rsid w:val="005D0F06"/>
    <w:rsid w:val="005D1396"/>
    <w:rsid w:val="005D2035"/>
    <w:rsid w:val="005D208B"/>
    <w:rsid w:val="005D219C"/>
    <w:rsid w:val="005D301F"/>
    <w:rsid w:val="005D3157"/>
    <w:rsid w:val="005D3DA7"/>
    <w:rsid w:val="005D435B"/>
    <w:rsid w:val="005D46A7"/>
    <w:rsid w:val="005D4D3D"/>
    <w:rsid w:val="005D5061"/>
    <w:rsid w:val="005D69EB"/>
    <w:rsid w:val="005D6E5D"/>
    <w:rsid w:val="005D6FDB"/>
    <w:rsid w:val="005D7E27"/>
    <w:rsid w:val="005E0805"/>
    <w:rsid w:val="005E1227"/>
    <w:rsid w:val="005E1253"/>
    <w:rsid w:val="005E1D20"/>
    <w:rsid w:val="005E2A00"/>
    <w:rsid w:val="005E361B"/>
    <w:rsid w:val="005F1130"/>
    <w:rsid w:val="005F1257"/>
    <w:rsid w:val="005F2165"/>
    <w:rsid w:val="005F2523"/>
    <w:rsid w:val="005F3DBC"/>
    <w:rsid w:val="005F46F7"/>
    <w:rsid w:val="005F4A63"/>
    <w:rsid w:val="005F4B0A"/>
    <w:rsid w:val="005F4B19"/>
    <w:rsid w:val="005F6817"/>
    <w:rsid w:val="005F6ECD"/>
    <w:rsid w:val="005F718C"/>
    <w:rsid w:val="005F7700"/>
    <w:rsid w:val="00601B2A"/>
    <w:rsid w:val="00601CA0"/>
    <w:rsid w:val="00603206"/>
    <w:rsid w:val="00606EA0"/>
    <w:rsid w:val="00610387"/>
    <w:rsid w:val="00612A4D"/>
    <w:rsid w:val="00613915"/>
    <w:rsid w:val="006143FA"/>
    <w:rsid w:val="00615310"/>
    <w:rsid w:val="0061535B"/>
    <w:rsid w:val="00615730"/>
    <w:rsid w:val="00617BFE"/>
    <w:rsid w:val="00620019"/>
    <w:rsid w:val="00621573"/>
    <w:rsid w:val="00622F7A"/>
    <w:rsid w:val="00623B03"/>
    <w:rsid w:val="006246F0"/>
    <w:rsid w:val="00625066"/>
    <w:rsid w:val="006253F1"/>
    <w:rsid w:val="00625542"/>
    <w:rsid w:val="00625727"/>
    <w:rsid w:val="0062598C"/>
    <w:rsid w:val="00626B61"/>
    <w:rsid w:val="00626D09"/>
    <w:rsid w:val="006273B4"/>
    <w:rsid w:val="00632F05"/>
    <w:rsid w:val="00633741"/>
    <w:rsid w:val="00633F0B"/>
    <w:rsid w:val="0063438C"/>
    <w:rsid w:val="0063442A"/>
    <w:rsid w:val="006355B0"/>
    <w:rsid w:val="0063590C"/>
    <w:rsid w:val="0063613A"/>
    <w:rsid w:val="00637A20"/>
    <w:rsid w:val="00640150"/>
    <w:rsid w:val="00640D36"/>
    <w:rsid w:val="0064111D"/>
    <w:rsid w:val="00641D01"/>
    <w:rsid w:val="00642683"/>
    <w:rsid w:val="006444D1"/>
    <w:rsid w:val="0064458D"/>
    <w:rsid w:val="0064581E"/>
    <w:rsid w:val="0064585A"/>
    <w:rsid w:val="00647039"/>
    <w:rsid w:val="00647265"/>
    <w:rsid w:val="00647AC0"/>
    <w:rsid w:val="00651561"/>
    <w:rsid w:val="00653765"/>
    <w:rsid w:val="006540E5"/>
    <w:rsid w:val="00654B70"/>
    <w:rsid w:val="0065590A"/>
    <w:rsid w:val="00655992"/>
    <w:rsid w:val="0065699C"/>
    <w:rsid w:val="00660066"/>
    <w:rsid w:val="00660C60"/>
    <w:rsid w:val="00660C9B"/>
    <w:rsid w:val="00661FF8"/>
    <w:rsid w:val="00663951"/>
    <w:rsid w:val="00663DA9"/>
    <w:rsid w:val="00664889"/>
    <w:rsid w:val="0066601F"/>
    <w:rsid w:val="00667743"/>
    <w:rsid w:val="00667F69"/>
    <w:rsid w:val="00670729"/>
    <w:rsid w:val="00670858"/>
    <w:rsid w:val="006723EF"/>
    <w:rsid w:val="00672450"/>
    <w:rsid w:val="00673F83"/>
    <w:rsid w:val="0067477E"/>
    <w:rsid w:val="0067718D"/>
    <w:rsid w:val="00677A0A"/>
    <w:rsid w:val="00681356"/>
    <w:rsid w:val="0068283A"/>
    <w:rsid w:val="006830DB"/>
    <w:rsid w:val="00683672"/>
    <w:rsid w:val="006837B5"/>
    <w:rsid w:val="00683C93"/>
    <w:rsid w:val="00684026"/>
    <w:rsid w:val="00685BCA"/>
    <w:rsid w:val="00685C33"/>
    <w:rsid w:val="00686739"/>
    <w:rsid w:val="006872B6"/>
    <w:rsid w:val="0069002D"/>
    <w:rsid w:val="00690146"/>
    <w:rsid w:val="00690E46"/>
    <w:rsid w:val="00691C73"/>
    <w:rsid w:val="0069318C"/>
    <w:rsid w:val="006932DA"/>
    <w:rsid w:val="00693FB1"/>
    <w:rsid w:val="00694D23"/>
    <w:rsid w:val="00694D35"/>
    <w:rsid w:val="00695510"/>
    <w:rsid w:val="00695F04"/>
    <w:rsid w:val="00695F7A"/>
    <w:rsid w:val="006A10A8"/>
    <w:rsid w:val="006A19C5"/>
    <w:rsid w:val="006A1C10"/>
    <w:rsid w:val="006A4DB7"/>
    <w:rsid w:val="006A5657"/>
    <w:rsid w:val="006A61BA"/>
    <w:rsid w:val="006A6D56"/>
    <w:rsid w:val="006A6DCC"/>
    <w:rsid w:val="006A747D"/>
    <w:rsid w:val="006A7DFF"/>
    <w:rsid w:val="006B005F"/>
    <w:rsid w:val="006B4798"/>
    <w:rsid w:val="006B4FBF"/>
    <w:rsid w:val="006B599D"/>
    <w:rsid w:val="006B5AE8"/>
    <w:rsid w:val="006B7548"/>
    <w:rsid w:val="006B7632"/>
    <w:rsid w:val="006C0CA9"/>
    <w:rsid w:val="006C16E3"/>
    <w:rsid w:val="006C2061"/>
    <w:rsid w:val="006C21F9"/>
    <w:rsid w:val="006C25F6"/>
    <w:rsid w:val="006C4619"/>
    <w:rsid w:val="006C6189"/>
    <w:rsid w:val="006C63EC"/>
    <w:rsid w:val="006C7BA2"/>
    <w:rsid w:val="006D27C0"/>
    <w:rsid w:val="006D4CB8"/>
    <w:rsid w:val="006D50AC"/>
    <w:rsid w:val="006D561D"/>
    <w:rsid w:val="006D6C46"/>
    <w:rsid w:val="006D6D91"/>
    <w:rsid w:val="006D7025"/>
    <w:rsid w:val="006E10BB"/>
    <w:rsid w:val="006E16A4"/>
    <w:rsid w:val="006E18E5"/>
    <w:rsid w:val="006E2861"/>
    <w:rsid w:val="006E64F3"/>
    <w:rsid w:val="006E7458"/>
    <w:rsid w:val="006F180F"/>
    <w:rsid w:val="006F1B51"/>
    <w:rsid w:val="006F1FFB"/>
    <w:rsid w:val="006F25D0"/>
    <w:rsid w:val="006F4B57"/>
    <w:rsid w:val="006F65B3"/>
    <w:rsid w:val="006F6828"/>
    <w:rsid w:val="006F7114"/>
    <w:rsid w:val="006F7AD1"/>
    <w:rsid w:val="00702480"/>
    <w:rsid w:val="00703078"/>
    <w:rsid w:val="00703889"/>
    <w:rsid w:val="007042E6"/>
    <w:rsid w:val="007051E6"/>
    <w:rsid w:val="0070626D"/>
    <w:rsid w:val="007066DF"/>
    <w:rsid w:val="00707394"/>
    <w:rsid w:val="00710CF5"/>
    <w:rsid w:val="00710EBE"/>
    <w:rsid w:val="00710FA4"/>
    <w:rsid w:val="0071195D"/>
    <w:rsid w:val="00713860"/>
    <w:rsid w:val="00713FF3"/>
    <w:rsid w:val="0071415A"/>
    <w:rsid w:val="007144B5"/>
    <w:rsid w:val="00714923"/>
    <w:rsid w:val="00714B55"/>
    <w:rsid w:val="00715499"/>
    <w:rsid w:val="00716B3B"/>
    <w:rsid w:val="00716CFC"/>
    <w:rsid w:val="007171FE"/>
    <w:rsid w:val="00720BE2"/>
    <w:rsid w:val="007220B1"/>
    <w:rsid w:val="0072317D"/>
    <w:rsid w:val="00723408"/>
    <w:rsid w:val="00723FC5"/>
    <w:rsid w:val="00724908"/>
    <w:rsid w:val="00724A75"/>
    <w:rsid w:val="00724E73"/>
    <w:rsid w:val="00725403"/>
    <w:rsid w:val="0072596E"/>
    <w:rsid w:val="0072790B"/>
    <w:rsid w:val="00731CD0"/>
    <w:rsid w:val="00732C36"/>
    <w:rsid w:val="00733C37"/>
    <w:rsid w:val="00733D86"/>
    <w:rsid w:val="00733DC5"/>
    <w:rsid w:val="0073469F"/>
    <w:rsid w:val="007346F1"/>
    <w:rsid w:val="00736AC8"/>
    <w:rsid w:val="00737A99"/>
    <w:rsid w:val="00737AFF"/>
    <w:rsid w:val="0074227C"/>
    <w:rsid w:val="007424FB"/>
    <w:rsid w:val="00742C55"/>
    <w:rsid w:val="007431CB"/>
    <w:rsid w:val="00744B60"/>
    <w:rsid w:val="0074566A"/>
    <w:rsid w:val="00745B05"/>
    <w:rsid w:val="007461F3"/>
    <w:rsid w:val="00747023"/>
    <w:rsid w:val="00747F53"/>
    <w:rsid w:val="00750AEF"/>
    <w:rsid w:val="00751D03"/>
    <w:rsid w:val="007528D2"/>
    <w:rsid w:val="00752CF8"/>
    <w:rsid w:val="007531A4"/>
    <w:rsid w:val="00753852"/>
    <w:rsid w:val="00754624"/>
    <w:rsid w:val="00755553"/>
    <w:rsid w:val="007555C6"/>
    <w:rsid w:val="00755F22"/>
    <w:rsid w:val="00756547"/>
    <w:rsid w:val="00756C05"/>
    <w:rsid w:val="00756E9C"/>
    <w:rsid w:val="00757204"/>
    <w:rsid w:val="0075799C"/>
    <w:rsid w:val="00757CAE"/>
    <w:rsid w:val="00760098"/>
    <w:rsid w:val="00762378"/>
    <w:rsid w:val="00762546"/>
    <w:rsid w:val="007628D8"/>
    <w:rsid w:val="00763562"/>
    <w:rsid w:val="007635CE"/>
    <w:rsid w:val="007642BA"/>
    <w:rsid w:val="00764C09"/>
    <w:rsid w:val="007651F7"/>
    <w:rsid w:val="007665ED"/>
    <w:rsid w:val="00767696"/>
    <w:rsid w:val="007717B9"/>
    <w:rsid w:val="00771DE1"/>
    <w:rsid w:val="00772806"/>
    <w:rsid w:val="00772F19"/>
    <w:rsid w:val="007738C3"/>
    <w:rsid w:val="00773A1D"/>
    <w:rsid w:val="007743F3"/>
    <w:rsid w:val="0077468E"/>
    <w:rsid w:val="007767A6"/>
    <w:rsid w:val="00776D5D"/>
    <w:rsid w:val="00776FA2"/>
    <w:rsid w:val="00780679"/>
    <w:rsid w:val="00780BDF"/>
    <w:rsid w:val="007817E7"/>
    <w:rsid w:val="0078425D"/>
    <w:rsid w:val="0078439A"/>
    <w:rsid w:val="00784892"/>
    <w:rsid w:val="007851C4"/>
    <w:rsid w:val="007851E2"/>
    <w:rsid w:val="007857A1"/>
    <w:rsid w:val="00785B10"/>
    <w:rsid w:val="00785DAB"/>
    <w:rsid w:val="00786323"/>
    <w:rsid w:val="00786D0F"/>
    <w:rsid w:val="00787996"/>
    <w:rsid w:val="0079077E"/>
    <w:rsid w:val="00791A7B"/>
    <w:rsid w:val="00791F34"/>
    <w:rsid w:val="0079241A"/>
    <w:rsid w:val="007924B3"/>
    <w:rsid w:val="00792896"/>
    <w:rsid w:val="00792DCB"/>
    <w:rsid w:val="00794292"/>
    <w:rsid w:val="00794669"/>
    <w:rsid w:val="0079526D"/>
    <w:rsid w:val="00795CAE"/>
    <w:rsid w:val="00796F91"/>
    <w:rsid w:val="00797033"/>
    <w:rsid w:val="007971AF"/>
    <w:rsid w:val="0079799F"/>
    <w:rsid w:val="007A0E98"/>
    <w:rsid w:val="007A1839"/>
    <w:rsid w:val="007A220C"/>
    <w:rsid w:val="007A22A2"/>
    <w:rsid w:val="007A3244"/>
    <w:rsid w:val="007A3BED"/>
    <w:rsid w:val="007A4ABC"/>
    <w:rsid w:val="007A6555"/>
    <w:rsid w:val="007B178B"/>
    <w:rsid w:val="007B2210"/>
    <w:rsid w:val="007B2339"/>
    <w:rsid w:val="007B2776"/>
    <w:rsid w:val="007B2951"/>
    <w:rsid w:val="007B3994"/>
    <w:rsid w:val="007B3A05"/>
    <w:rsid w:val="007B44A6"/>
    <w:rsid w:val="007B6010"/>
    <w:rsid w:val="007B6818"/>
    <w:rsid w:val="007B69F5"/>
    <w:rsid w:val="007C0FD7"/>
    <w:rsid w:val="007C148D"/>
    <w:rsid w:val="007C266E"/>
    <w:rsid w:val="007C3987"/>
    <w:rsid w:val="007C5030"/>
    <w:rsid w:val="007C682B"/>
    <w:rsid w:val="007C6B72"/>
    <w:rsid w:val="007D0763"/>
    <w:rsid w:val="007D0A68"/>
    <w:rsid w:val="007D0D0F"/>
    <w:rsid w:val="007D10DE"/>
    <w:rsid w:val="007D1D37"/>
    <w:rsid w:val="007D27D0"/>
    <w:rsid w:val="007D317D"/>
    <w:rsid w:val="007D4126"/>
    <w:rsid w:val="007D5042"/>
    <w:rsid w:val="007D5ADD"/>
    <w:rsid w:val="007D64BB"/>
    <w:rsid w:val="007D6610"/>
    <w:rsid w:val="007D6910"/>
    <w:rsid w:val="007D71FF"/>
    <w:rsid w:val="007E1D8F"/>
    <w:rsid w:val="007E220D"/>
    <w:rsid w:val="007E3265"/>
    <w:rsid w:val="007E59E3"/>
    <w:rsid w:val="007E59FC"/>
    <w:rsid w:val="007E60FD"/>
    <w:rsid w:val="007E6A33"/>
    <w:rsid w:val="007E6D44"/>
    <w:rsid w:val="007E6F9F"/>
    <w:rsid w:val="007E70DD"/>
    <w:rsid w:val="007E719C"/>
    <w:rsid w:val="007F0A68"/>
    <w:rsid w:val="007F12D4"/>
    <w:rsid w:val="007F1734"/>
    <w:rsid w:val="007F1892"/>
    <w:rsid w:val="007F19DD"/>
    <w:rsid w:val="007F2D6C"/>
    <w:rsid w:val="007F39CA"/>
    <w:rsid w:val="007F3C21"/>
    <w:rsid w:val="007F4134"/>
    <w:rsid w:val="007F49C0"/>
    <w:rsid w:val="007F50DF"/>
    <w:rsid w:val="007F5117"/>
    <w:rsid w:val="007F772D"/>
    <w:rsid w:val="007F7F3E"/>
    <w:rsid w:val="0080064E"/>
    <w:rsid w:val="00800DC2"/>
    <w:rsid w:val="008018BB"/>
    <w:rsid w:val="00802477"/>
    <w:rsid w:val="008026A2"/>
    <w:rsid w:val="008033E9"/>
    <w:rsid w:val="00803DAC"/>
    <w:rsid w:val="00803EB3"/>
    <w:rsid w:val="00804558"/>
    <w:rsid w:val="008051EE"/>
    <w:rsid w:val="008056C6"/>
    <w:rsid w:val="00805DE3"/>
    <w:rsid w:val="00806BD8"/>
    <w:rsid w:val="0081089C"/>
    <w:rsid w:val="0081135E"/>
    <w:rsid w:val="0081261B"/>
    <w:rsid w:val="00812EF6"/>
    <w:rsid w:val="00813C23"/>
    <w:rsid w:val="00814E36"/>
    <w:rsid w:val="008154F5"/>
    <w:rsid w:val="0081569D"/>
    <w:rsid w:val="008157FC"/>
    <w:rsid w:val="00815B19"/>
    <w:rsid w:val="00815BDB"/>
    <w:rsid w:val="0081601B"/>
    <w:rsid w:val="0081634D"/>
    <w:rsid w:val="00816E4C"/>
    <w:rsid w:val="00817104"/>
    <w:rsid w:val="0081710A"/>
    <w:rsid w:val="00817388"/>
    <w:rsid w:val="00817BF0"/>
    <w:rsid w:val="00820B28"/>
    <w:rsid w:val="00822134"/>
    <w:rsid w:val="008226A2"/>
    <w:rsid w:val="00822EEA"/>
    <w:rsid w:val="0082356E"/>
    <w:rsid w:val="00823883"/>
    <w:rsid w:val="008240EF"/>
    <w:rsid w:val="0082434B"/>
    <w:rsid w:val="00824D09"/>
    <w:rsid w:val="00824E75"/>
    <w:rsid w:val="0082580E"/>
    <w:rsid w:val="00827D6C"/>
    <w:rsid w:val="008306F8"/>
    <w:rsid w:val="008307EA"/>
    <w:rsid w:val="00832A3D"/>
    <w:rsid w:val="00832D5D"/>
    <w:rsid w:val="0083397D"/>
    <w:rsid w:val="00834FF7"/>
    <w:rsid w:val="00836487"/>
    <w:rsid w:val="008406D3"/>
    <w:rsid w:val="008408FD"/>
    <w:rsid w:val="0084094D"/>
    <w:rsid w:val="008411D4"/>
    <w:rsid w:val="008413B0"/>
    <w:rsid w:val="00841CE1"/>
    <w:rsid w:val="00841E04"/>
    <w:rsid w:val="008422A3"/>
    <w:rsid w:val="00842F81"/>
    <w:rsid w:val="00843A81"/>
    <w:rsid w:val="008449E9"/>
    <w:rsid w:val="0084521D"/>
    <w:rsid w:val="00845767"/>
    <w:rsid w:val="00845A47"/>
    <w:rsid w:val="008469EF"/>
    <w:rsid w:val="00846DEB"/>
    <w:rsid w:val="00846E74"/>
    <w:rsid w:val="00847560"/>
    <w:rsid w:val="00850BC7"/>
    <w:rsid w:val="00851D98"/>
    <w:rsid w:val="0085222C"/>
    <w:rsid w:val="00852B37"/>
    <w:rsid w:val="00852C5B"/>
    <w:rsid w:val="00853C03"/>
    <w:rsid w:val="0085445F"/>
    <w:rsid w:val="0085457F"/>
    <w:rsid w:val="0085608D"/>
    <w:rsid w:val="008562C7"/>
    <w:rsid w:val="008565FD"/>
    <w:rsid w:val="0085720E"/>
    <w:rsid w:val="00857E3D"/>
    <w:rsid w:val="00861EB1"/>
    <w:rsid w:val="008621ED"/>
    <w:rsid w:val="008621F5"/>
    <w:rsid w:val="00863909"/>
    <w:rsid w:val="0086397F"/>
    <w:rsid w:val="008644DD"/>
    <w:rsid w:val="0086455A"/>
    <w:rsid w:val="00864686"/>
    <w:rsid w:val="00865755"/>
    <w:rsid w:val="00865F75"/>
    <w:rsid w:val="00867828"/>
    <w:rsid w:val="00871E61"/>
    <w:rsid w:val="00873A35"/>
    <w:rsid w:val="00873F5F"/>
    <w:rsid w:val="00874D47"/>
    <w:rsid w:val="00877763"/>
    <w:rsid w:val="008806E9"/>
    <w:rsid w:val="008820B3"/>
    <w:rsid w:val="008828C0"/>
    <w:rsid w:val="0088295F"/>
    <w:rsid w:val="00883A9C"/>
    <w:rsid w:val="00884214"/>
    <w:rsid w:val="008843FF"/>
    <w:rsid w:val="00884451"/>
    <w:rsid w:val="008854AE"/>
    <w:rsid w:val="0088624B"/>
    <w:rsid w:val="008866C0"/>
    <w:rsid w:val="00886726"/>
    <w:rsid w:val="00887293"/>
    <w:rsid w:val="00887A61"/>
    <w:rsid w:val="0089145C"/>
    <w:rsid w:val="00891C1B"/>
    <w:rsid w:val="00891D7D"/>
    <w:rsid w:val="00891FFB"/>
    <w:rsid w:val="008931F6"/>
    <w:rsid w:val="00893A52"/>
    <w:rsid w:val="00895405"/>
    <w:rsid w:val="0089556D"/>
    <w:rsid w:val="00896283"/>
    <w:rsid w:val="00896462"/>
    <w:rsid w:val="00896C4A"/>
    <w:rsid w:val="00897A37"/>
    <w:rsid w:val="00897B7E"/>
    <w:rsid w:val="00897DDC"/>
    <w:rsid w:val="008A0AD3"/>
    <w:rsid w:val="008A3BAB"/>
    <w:rsid w:val="008A3D96"/>
    <w:rsid w:val="008A7C2C"/>
    <w:rsid w:val="008A7EB8"/>
    <w:rsid w:val="008B0AF6"/>
    <w:rsid w:val="008B0C6A"/>
    <w:rsid w:val="008B3350"/>
    <w:rsid w:val="008B37FC"/>
    <w:rsid w:val="008B4764"/>
    <w:rsid w:val="008B5A91"/>
    <w:rsid w:val="008B6646"/>
    <w:rsid w:val="008B7227"/>
    <w:rsid w:val="008B77F0"/>
    <w:rsid w:val="008B7937"/>
    <w:rsid w:val="008B7BF0"/>
    <w:rsid w:val="008C04A6"/>
    <w:rsid w:val="008C14C5"/>
    <w:rsid w:val="008C1ABB"/>
    <w:rsid w:val="008C408D"/>
    <w:rsid w:val="008C4EF3"/>
    <w:rsid w:val="008C53FC"/>
    <w:rsid w:val="008C58BD"/>
    <w:rsid w:val="008C6C33"/>
    <w:rsid w:val="008C77C3"/>
    <w:rsid w:val="008D0AA4"/>
    <w:rsid w:val="008D0B20"/>
    <w:rsid w:val="008D0D84"/>
    <w:rsid w:val="008D1653"/>
    <w:rsid w:val="008D1FB9"/>
    <w:rsid w:val="008D2A0D"/>
    <w:rsid w:val="008D4EC8"/>
    <w:rsid w:val="008D5204"/>
    <w:rsid w:val="008D575A"/>
    <w:rsid w:val="008D5A54"/>
    <w:rsid w:val="008D627A"/>
    <w:rsid w:val="008E0701"/>
    <w:rsid w:val="008E204F"/>
    <w:rsid w:val="008E2C29"/>
    <w:rsid w:val="008E44F1"/>
    <w:rsid w:val="008E4D39"/>
    <w:rsid w:val="008E56A5"/>
    <w:rsid w:val="008E601E"/>
    <w:rsid w:val="008E6BC1"/>
    <w:rsid w:val="008E7821"/>
    <w:rsid w:val="008E7D8D"/>
    <w:rsid w:val="008F0613"/>
    <w:rsid w:val="008F0835"/>
    <w:rsid w:val="008F0B3F"/>
    <w:rsid w:val="008F1DB5"/>
    <w:rsid w:val="008F22F6"/>
    <w:rsid w:val="008F314F"/>
    <w:rsid w:val="008F39F1"/>
    <w:rsid w:val="008F3BEA"/>
    <w:rsid w:val="008F5C91"/>
    <w:rsid w:val="008F70A5"/>
    <w:rsid w:val="008F729D"/>
    <w:rsid w:val="008F78E2"/>
    <w:rsid w:val="008F7F5B"/>
    <w:rsid w:val="00902852"/>
    <w:rsid w:val="00903B06"/>
    <w:rsid w:val="00904169"/>
    <w:rsid w:val="00904406"/>
    <w:rsid w:val="009046C9"/>
    <w:rsid w:val="00905AF5"/>
    <w:rsid w:val="009063E7"/>
    <w:rsid w:val="00906B6F"/>
    <w:rsid w:val="0091004C"/>
    <w:rsid w:val="00911CF1"/>
    <w:rsid w:val="00912767"/>
    <w:rsid w:val="0091484F"/>
    <w:rsid w:val="0091631A"/>
    <w:rsid w:val="00916A7E"/>
    <w:rsid w:val="00917BA2"/>
    <w:rsid w:val="009200C6"/>
    <w:rsid w:val="00920F55"/>
    <w:rsid w:val="00921AFA"/>
    <w:rsid w:val="0092292C"/>
    <w:rsid w:val="00924B6B"/>
    <w:rsid w:val="00924C65"/>
    <w:rsid w:val="009258EF"/>
    <w:rsid w:val="009263D2"/>
    <w:rsid w:val="00926400"/>
    <w:rsid w:val="009278CA"/>
    <w:rsid w:val="009310DB"/>
    <w:rsid w:val="00931DB5"/>
    <w:rsid w:val="00932243"/>
    <w:rsid w:val="0093233F"/>
    <w:rsid w:val="00933334"/>
    <w:rsid w:val="009334AD"/>
    <w:rsid w:val="00934DD3"/>
    <w:rsid w:val="00936EF5"/>
    <w:rsid w:val="00937389"/>
    <w:rsid w:val="00937508"/>
    <w:rsid w:val="009401E2"/>
    <w:rsid w:val="00940EE9"/>
    <w:rsid w:val="00944030"/>
    <w:rsid w:val="0094609F"/>
    <w:rsid w:val="00946393"/>
    <w:rsid w:val="009463EC"/>
    <w:rsid w:val="00946609"/>
    <w:rsid w:val="00950FD9"/>
    <w:rsid w:val="00951C8F"/>
    <w:rsid w:val="009522D1"/>
    <w:rsid w:val="00954739"/>
    <w:rsid w:val="00954746"/>
    <w:rsid w:val="00954B2C"/>
    <w:rsid w:val="009569B3"/>
    <w:rsid w:val="00956D27"/>
    <w:rsid w:val="00956E0F"/>
    <w:rsid w:val="009601F7"/>
    <w:rsid w:val="009602D7"/>
    <w:rsid w:val="009603CA"/>
    <w:rsid w:val="00961262"/>
    <w:rsid w:val="009620FD"/>
    <w:rsid w:val="0096286F"/>
    <w:rsid w:val="009628AE"/>
    <w:rsid w:val="009676AF"/>
    <w:rsid w:val="0097167D"/>
    <w:rsid w:val="0097413B"/>
    <w:rsid w:val="00974B17"/>
    <w:rsid w:val="009758EC"/>
    <w:rsid w:val="009767C0"/>
    <w:rsid w:val="00976AFC"/>
    <w:rsid w:val="00976C90"/>
    <w:rsid w:val="00976EED"/>
    <w:rsid w:val="00976F8A"/>
    <w:rsid w:val="00980743"/>
    <w:rsid w:val="00980E12"/>
    <w:rsid w:val="00981086"/>
    <w:rsid w:val="00981D77"/>
    <w:rsid w:val="00982381"/>
    <w:rsid w:val="0098267C"/>
    <w:rsid w:val="00982B40"/>
    <w:rsid w:val="00983C4A"/>
    <w:rsid w:val="009843D2"/>
    <w:rsid w:val="00985C1D"/>
    <w:rsid w:val="00985FFC"/>
    <w:rsid w:val="00986207"/>
    <w:rsid w:val="009872E6"/>
    <w:rsid w:val="00987E06"/>
    <w:rsid w:val="009919EA"/>
    <w:rsid w:val="00992012"/>
    <w:rsid w:val="00992A6A"/>
    <w:rsid w:val="00992BCE"/>
    <w:rsid w:val="00992DF7"/>
    <w:rsid w:val="00993DB0"/>
    <w:rsid w:val="00997A1A"/>
    <w:rsid w:val="00997DF4"/>
    <w:rsid w:val="009A14BE"/>
    <w:rsid w:val="009A1B08"/>
    <w:rsid w:val="009A33C8"/>
    <w:rsid w:val="009A36BD"/>
    <w:rsid w:val="009A3818"/>
    <w:rsid w:val="009A390A"/>
    <w:rsid w:val="009A4F0E"/>
    <w:rsid w:val="009A4FFA"/>
    <w:rsid w:val="009A618E"/>
    <w:rsid w:val="009A70B3"/>
    <w:rsid w:val="009A74C8"/>
    <w:rsid w:val="009A762D"/>
    <w:rsid w:val="009A7EE9"/>
    <w:rsid w:val="009A7FAD"/>
    <w:rsid w:val="009B0724"/>
    <w:rsid w:val="009B0DF1"/>
    <w:rsid w:val="009B1EDF"/>
    <w:rsid w:val="009B2ACA"/>
    <w:rsid w:val="009B4655"/>
    <w:rsid w:val="009B54D5"/>
    <w:rsid w:val="009B5C5F"/>
    <w:rsid w:val="009B692C"/>
    <w:rsid w:val="009B6930"/>
    <w:rsid w:val="009B6C58"/>
    <w:rsid w:val="009B7C3D"/>
    <w:rsid w:val="009C06A9"/>
    <w:rsid w:val="009C08DC"/>
    <w:rsid w:val="009C0AD7"/>
    <w:rsid w:val="009C1C72"/>
    <w:rsid w:val="009C3D17"/>
    <w:rsid w:val="009C3DA3"/>
    <w:rsid w:val="009C4D91"/>
    <w:rsid w:val="009C5722"/>
    <w:rsid w:val="009C589D"/>
    <w:rsid w:val="009C61E5"/>
    <w:rsid w:val="009C6A95"/>
    <w:rsid w:val="009C7AC6"/>
    <w:rsid w:val="009D10F1"/>
    <w:rsid w:val="009D1697"/>
    <w:rsid w:val="009D177E"/>
    <w:rsid w:val="009D19ED"/>
    <w:rsid w:val="009D2124"/>
    <w:rsid w:val="009D2C41"/>
    <w:rsid w:val="009D324D"/>
    <w:rsid w:val="009D3C58"/>
    <w:rsid w:val="009D5719"/>
    <w:rsid w:val="009D57B7"/>
    <w:rsid w:val="009D61A7"/>
    <w:rsid w:val="009D6423"/>
    <w:rsid w:val="009D7144"/>
    <w:rsid w:val="009D7DCE"/>
    <w:rsid w:val="009E05DF"/>
    <w:rsid w:val="009E0E82"/>
    <w:rsid w:val="009E359D"/>
    <w:rsid w:val="009E5507"/>
    <w:rsid w:val="009E565D"/>
    <w:rsid w:val="009E5887"/>
    <w:rsid w:val="009E59E8"/>
    <w:rsid w:val="009E5A4E"/>
    <w:rsid w:val="009E641E"/>
    <w:rsid w:val="009E793B"/>
    <w:rsid w:val="009F2240"/>
    <w:rsid w:val="009F48AD"/>
    <w:rsid w:val="009F4B19"/>
    <w:rsid w:val="009F4B5E"/>
    <w:rsid w:val="009F4DE4"/>
    <w:rsid w:val="009F5BF7"/>
    <w:rsid w:val="009F5FB7"/>
    <w:rsid w:val="009F601E"/>
    <w:rsid w:val="009F73AA"/>
    <w:rsid w:val="009F7564"/>
    <w:rsid w:val="009F7BF5"/>
    <w:rsid w:val="009F7CAC"/>
    <w:rsid w:val="00A0044D"/>
    <w:rsid w:val="00A008CF"/>
    <w:rsid w:val="00A00A66"/>
    <w:rsid w:val="00A0180C"/>
    <w:rsid w:val="00A01ED9"/>
    <w:rsid w:val="00A0217A"/>
    <w:rsid w:val="00A02AB5"/>
    <w:rsid w:val="00A02AFF"/>
    <w:rsid w:val="00A052D5"/>
    <w:rsid w:val="00A05D94"/>
    <w:rsid w:val="00A06231"/>
    <w:rsid w:val="00A062E5"/>
    <w:rsid w:val="00A0630E"/>
    <w:rsid w:val="00A06864"/>
    <w:rsid w:val="00A101B9"/>
    <w:rsid w:val="00A10234"/>
    <w:rsid w:val="00A10849"/>
    <w:rsid w:val="00A109D7"/>
    <w:rsid w:val="00A128A4"/>
    <w:rsid w:val="00A145F3"/>
    <w:rsid w:val="00A149F9"/>
    <w:rsid w:val="00A14B52"/>
    <w:rsid w:val="00A14C21"/>
    <w:rsid w:val="00A153D3"/>
    <w:rsid w:val="00A154DD"/>
    <w:rsid w:val="00A155B1"/>
    <w:rsid w:val="00A1591D"/>
    <w:rsid w:val="00A1658C"/>
    <w:rsid w:val="00A16E01"/>
    <w:rsid w:val="00A16F05"/>
    <w:rsid w:val="00A21EAF"/>
    <w:rsid w:val="00A22832"/>
    <w:rsid w:val="00A22C1F"/>
    <w:rsid w:val="00A232C9"/>
    <w:rsid w:val="00A24124"/>
    <w:rsid w:val="00A24240"/>
    <w:rsid w:val="00A24DA3"/>
    <w:rsid w:val="00A26A3E"/>
    <w:rsid w:val="00A271D5"/>
    <w:rsid w:val="00A279D4"/>
    <w:rsid w:val="00A30343"/>
    <w:rsid w:val="00A30FD2"/>
    <w:rsid w:val="00A312ED"/>
    <w:rsid w:val="00A32502"/>
    <w:rsid w:val="00A325B2"/>
    <w:rsid w:val="00A328C0"/>
    <w:rsid w:val="00A34691"/>
    <w:rsid w:val="00A34FF7"/>
    <w:rsid w:val="00A36B4C"/>
    <w:rsid w:val="00A36D92"/>
    <w:rsid w:val="00A373A0"/>
    <w:rsid w:val="00A3740F"/>
    <w:rsid w:val="00A401F0"/>
    <w:rsid w:val="00A4068D"/>
    <w:rsid w:val="00A41C39"/>
    <w:rsid w:val="00A42AED"/>
    <w:rsid w:val="00A43A7A"/>
    <w:rsid w:val="00A459AB"/>
    <w:rsid w:val="00A467E8"/>
    <w:rsid w:val="00A4715C"/>
    <w:rsid w:val="00A471EE"/>
    <w:rsid w:val="00A47A4B"/>
    <w:rsid w:val="00A47EB7"/>
    <w:rsid w:val="00A5013F"/>
    <w:rsid w:val="00A51A94"/>
    <w:rsid w:val="00A5270F"/>
    <w:rsid w:val="00A53DC2"/>
    <w:rsid w:val="00A54F68"/>
    <w:rsid w:val="00A561E5"/>
    <w:rsid w:val="00A573BD"/>
    <w:rsid w:val="00A57ADD"/>
    <w:rsid w:val="00A6116F"/>
    <w:rsid w:val="00A61605"/>
    <w:rsid w:val="00A619FE"/>
    <w:rsid w:val="00A61BAE"/>
    <w:rsid w:val="00A62D13"/>
    <w:rsid w:val="00A63330"/>
    <w:rsid w:val="00A63A88"/>
    <w:rsid w:val="00A65F73"/>
    <w:rsid w:val="00A65FEA"/>
    <w:rsid w:val="00A665A4"/>
    <w:rsid w:val="00A6678D"/>
    <w:rsid w:val="00A66A58"/>
    <w:rsid w:val="00A66FF5"/>
    <w:rsid w:val="00A67424"/>
    <w:rsid w:val="00A67B8E"/>
    <w:rsid w:val="00A67CAD"/>
    <w:rsid w:val="00A67F9F"/>
    <w:rsid w:val="00A70891"/>
    <w:rsid w:val="00A70DD0"/>
    <w:rsid w:val="00A70ED8"/>
    <w:rsid w:val="00A71170"/>
    <w:rsid w:val="00A72FE4"/>
    <w:rsid w:val="00A73167"/>
    <w:rsid w:val="00A73BE3"/>
    <w:rsid w:val="00A73BF4"/>
    <w:rsid w:val="00A73C23"/>
    <w:rsid w:val="00A74770"/>
    <w:rsid w:val="00A75470"/>
    <w:rsid w:val="00A76735"/>
    <w:rsid w:val="00A774C2"/>
    <w:rsid w:val="00A801F2"/>
    <w:rsid w:val="00A80560"/>
    <w:rsid w:val="00A805DB"/>
    <w:rsid w:val="00A809D6"/>
    <w:rsid w:val="00A8273C"/>
    <w:rsid w:val="00A843DA"/>
    <w:rsid w:val="00A85738"/>
    <w:rsid w:val="00A862CF"/>
    <w:rsid w:val="00A872B6"/>
    <w:rsid w:val="00A872BF"/>
    <w:rsid w:val="00A903B1"/>
    <w:rsid w:val="00A90CCB"/>
    <w:rsid w:val="00A90F1E"/>
    <w:rsid w:val="00A91070"/>
    <w:rsid w:val="00A925D5"/>
    <w:rsid w:val="00A92AC6"/>
    <w:rsid w:val="00A93A94"/>
    <w:rsid w:val="00A950FC"/>
    <w:rsid w:val="00A951D2"/>
    <w:rsid w:val="00A963B6"/>
    <w:rsid w:val="00A96A13"/>
    <w:rsid w:val="00A96A58"/>
    <w:rsid w:val="00A973C1"/>
    <w:rsid w:val="00A97647"/>
    <w:rsid w:val="00AA03F0"/>
    <w:rsid w:val="00AA19FE"/>
    <w:rsid w:val="00AA21C3"/>
    <w:rsid w:val="00AA21D9"/>
    <w:rsid w:val="00AA5A9C"/>
    <w:rsid w:val="00AA610F"/>
    <w:rsid w:val="00AA64D6"/>
    <w:rsid w:val="00AA7388"/>
    <w:rsid w:val="00AB1617"/>
    <w:rsid w:val="00AB163B"/>
    <w:rsid w:val="00AB2182"/>
    <w:rsid w:val="00AB435C"/>
    <w:rsid w:val="00AB44DB"/>
    <w:rsid w:val="00AB4770"/>
    <w:rsid w:val="00AB492A"/>
    <w:rsid w:val="00AB5221"/>
    <w:rsid w:val="00AB59BD"/>
    <w:rsid w:val="00AB6D3A"/>
    <w:rsid w:val="00AB6ECC"/>
    <w:rsid w:val="00AB79B3"/>
    <w:rsid w:val="00AB7BA4"/>
    <w:rsid w:val="00AB7F48"/>
    <w:rsid w:val="00AC004B"/>
    <w:rsid w:val="00AC09C1"/>
    <w:rsid w:val="00AC0A13"/>
    <w:rsid w:val="00AC0A7A"/>
    <w:rsid w:val="00AC0D6E"/>
    <w:rsid w:val="00AC1069"/>
    <w:rsid w:val="00AC2440"/>
    <w:rsid w:val="00AC2BDC"/>
    <w:rsid w:val="00AC3135"/>
    <w:rsid w:val="00AC3579"/>
    <w:rsid w:val="00AC3FD3"/>
    <w:rsid w:val="00AC4D50"/>
    <w:rsid w:val="00AC547A"/>
    <w:rsid w:val="00AC5746"/>
    <w:rsid w:val="00AC5A59"/>
    <w:rsid w:val="00AC6E9D"/>
    <w:rsid w:val="00AC7229"/>
    <w:rsid w:val="00AC76D2"/>
    <w:rsid w:val="00AC7BA2"/>
    <w:rsid w:val="00AD1255"/>
    <w:rsid w:val="00AD5F06"/>
    <w:rsid w:val="00AD6581"/>
    <w:rsid w:val="00AD733F"/>
    <w:rsid w:val="00AE0423"/>
    <w:rsid w:val="00AE4560"/>
    <w:rsid w:val="00AE51C6"/>
    <w:rsid w:val="00AE5442"/>
    <w:rsid w:val="00AE7662"/>
    <w:rsid w:val="00AF0CA9"/>
    <w:rsid w:val="00AF1853"/>
    <w:rsid w:val="00AF2D1E"/>
    <w:rsid w:val="00AF3979"/>
    <w:rsid w:val="00AF429F"/>
    <w:rsid w:val="00AF47C4"/>
    <w:rsid w:val="00AF796D"/>
    <w:rsid w:val="00B00FF8"/>
    <w:rsid w:val="00B043C1"/>
    <w:rsid w:val="00B04FD0"/>
    <w:rsid w:val="00B103E2"/>
    <w:rsid w:val="00B106BF"/>
    <w:rsid w:val="00B10D70"/>
    <w:rsid w:val="00B116CB"/>
    <w:rsid w:val="00B11E2F"/>
    <w:rsid w:val="00B12D8C"/>
    <w:rsid w:val="00B12F08"/>
    <w:rsid w:val="00B132F5"/>
    <w:rsid w:val="00B13C4F"/>
    <w:rsid w:val="00B1402A"/>
    <w:rsid w:val="00B14E0B"/>
    <w:rsid w:val="00B150AD"/>
    <w:rsid w:val="00B1711A"/>
    <w:rsid w:val="00B17ECD"/>
    <w:rsid w:val="00B17ED4"/>
    <w:rsid w:val="00B2037D"/>
    <w:rsid w:val="00B20F2E"/>
    <w:rsid w:val="00B220E7"/>
    <w:rsid w:val="00B22626"/>
    <w:rsid w:val="00B22CBF"/>
    <w:rsid w:val="00B24060"/>
    <w:rsid w:val="00B24584"/>
    <w:rsid w:val="00B25299"/>
    <w:rsid w:val="00B2592B"/>
    <w:rsid w:val="00B26C76"/>
    <w:rsid w:val="00B274CD"/>
    <w:rsid w:val="00B276DF"/>
    <w:rsid w:val="00B307C4"/>
    <w:rsid w:val="00B31AAF"/>
    <w:rsid w:val="00B31EB1"/>
    <w:rsid w:val="00B329A6"/>
    <w:rsid w:val="00B32B5B"/>
    <w:rsid w:val="00B3374F"/>
    <w:rsid w:val="00B3413A"/>
    <w:rsid w:val="00B3428A"/>
    <w:rsid w:val="00B353DD"/>
    <w:rsid w:val="00B359AE"/>
    <w:rsid w:val="00B36F28"/>
    <w:rsid w:val="00B37FF7"/>
    <w:rsid w:val="00B40043"/>
    <w:rsid w:val="00B40077"/>
    <w:rsid w:val="00B4025E"/>
    <w:rsid w:val="00B42900"/>
    <w:rsid w:val="00B43543"/>
    <w:rsid w:val="00B44B85"/>
    <w:rsid w:val="00B44B87"/>
    <w:rsid w:val="00B4507C"/>
    <w:rsid w:val="00B45265"/>
    <w:rsid w:val="00B456B1"/>
    <w:rsid w:val="00B46A7E"/>
    <w:rsid w:val="00B54F73"/>
    <w:rsid w:val="00B554CE"/>
    <w:rsid w:val="00B56223"/>
    <w:rsid w:val="00B56256"/>
    <w:rsid w:val="00B56DC8"/>
    <w:rsid w:val="00B57635"/>
    <w:rsid w:val="00B60004"/>
    <w:rsid w:val="00B60603"/>
    <w:rsid w:val="00B6109E"/>
    <w:rsid w:val="00B615FF"/>
    <w:rsid w:val="00B61937"/>
    <w:rsid w:val="00B62298"/>
    <w:rsid w:val="00B62ABC"/>
    <w:rsid w:val="00B62D37"/>
    <w:rsid w:val="00B63578"/>
    <w:rsid w:val="00B63EB3"/>
    <w:rsid w:val="00B63FBE"/>
    <w:rsid w:val="00B6425F"/>
    <w:rsid w:val="00B65C73"/>
    <w:rsid w:val="00B6717F"/>
    <w:rsid w:val="00B70AEF"/>
    <w:rsid w:val="00B70F61"/>
    <w:rsid w:val="00B721FD"/>
    <w:rsid w:val="00B722DF"/>
    <w:rsid w:val="00B72E5D"/>
    <w:rsid w:val="00B7363C"/>
    <w:rsid w:val="00B73A44"/>
    <w:rsid w:val="00B7543D"/>
    <w:rsid w:val="00B76038"/>
    <w:rsid w:val="00B76408"/>
    <w:rsid w:val="00B7675C"/>
    <w:rsid w:val="00B77F7D"/>
    <w:rsid w:val="00B81C8E"/>
    <w:rsid w:val="00B81F15"/>
    <w:rsid w:val="00B82809"/>
    <w:rsid w:val="00B8284D"/>
    <w:rsid w:val="00B8459C"/>
    <w:rsid w:val="00B846AF"/>
    <w:rsid w:val="00B84AA2"/>
    <w:rsid w:val="00B84E6B"/>
    <w:rsid w:val="00B84EE7"/>
    <w:rsid w:val="00B8529B"/>
    <w:rsid w:val="00B8685D"/>
    <w:rsid w:val="00B86AB9"/>
    <w:rsid w:val="00B8783C"/>
    <w:rsid w:val="00B90CB3"/>
    <w:rsid w:val="00B9110E"/>
    <w:rsid w:val="00B91438"/>
    <w:rsid w:val="00B919F5"/>
    <w:rsid w:val="00B91B32"/>
    <w:rsid w:val="00B92433"/>
    <w:rsid w:val="00B92AFC"/>
    <w:rsid w:val="00B93081"/>
    <w:rsid w:val="00B93187"/>
    <w:rsid w:val="00B932D3"/>
    <w:rsid w:val="00B940D0"/>
    <w:rsid w:val="00B951DB"/>
    <w:rsid w:val="00B95C9F"/>
    <w:rsid w:val="00B9666A"/>
    <w:rsid w:val="00B96F58"/>
    <w:rsid w:val="00B970AD"/>
    <w:rsid w:val="00B97992"/>
    <w:rsid w:val="00BA0171"/>
    <w:rsid w:val="00BA07EA"/>
    <w:rsid w:val="00BA0FAD"/>
    <w:rsid w:val="00BA2B0A"/>
    <w:rsid w:val="00BA2CF1"/>
    <w:rsid w:val="00BA2E5D"/>
    <w:rsid w:val="00BA2F15"/>
    <w:rsid w:val="00BA3264"/>
    <w:rsid w:val="00BA42B6"/>
    <w:rsid w:val="00BA499B"/>
    <w:rsid w:val="00BA4F62"/>
    <w:rsid w:val="00BA6352"/>
    <w:rsid w:val="00BA63EB"/>
    <w:rsid w:val="00BA76DA"/>
    <w:rsid w:val="00BA7FA5"/>
    <w:rsid w:val="00BB02B3"/>
    <w:rsid w:val="00BB07D2"/>
    <w:rsid w:val="00BB0ADF"/>
    <w:rsid w:val="00BB1289"/>
    <w:rsid w:val="00BB17B5"/>
    <w:rsid w:val="00BB2455"/>
    <w:rsid w:val="00BB3DA2"/>
    <w:rsid w:val="00BB5D61"/>
    <w:rsid w:val="00BC00F1"/>
    <w:rsid w:val="00BC038B"/>
    <w:rsid w:val="00BC2DF7"/>
    <w:rsid w:val="00BC3C40"/>
    <w:rsid w:val="00BC3E36"/>
    <w:rsid w:val="00BC6673"/>
    <w:rsid w:val="00BC7989"/>
    <w:rsid w:val="00BD184E"/>
    <w:rsid w:val="00BD3876"/>
    <w:rsid w:val="00BD3DEC"/>
    <w:rsid w:val="00BD4BB3"/>
    <w:rsid w:val="00BD57D3"/>
    <w:rsid w:val="00BD61C6"/>
    <w:rsid w:val="00BD6423"/>
    <w:rsid w:val="00BD711D"/>
    <w:rsid w:val="00BE001E"/>
    <w:rsid w:val="00BE0588"/>
    <w:rsid w:val="00BE11AA"/>
    <w:rsid w:val="00BE1201"/>
    <w:rsid w:val="00BE1893"/>
    <w:rsid w:val="00BE41C5"/>
    <w:rsid w:val="00BE4424"/>
    <w:rsid w:val="00BE61D8"/>
    <w:rsid w:val="00BE6CA8"/>
    <w:rsid w:val="00BF0266"/>
    <w:rsid w:val="00BF14D1"/>
    <w:rsid w:val="00BF1AB0"/>
    <w:rsid w:val="00BF2740"/>
    <w:rsid w:val="00BF2BAF"/>
    <w:rsid w:val="00BF36FA"/>
    <w:rsid w:val="00BF3DBF"/>
    <w:rsid w:val="00BF519A"/>
    <w:rsid w:val="00BF57AE"/>
    <w:rsid w:val="00BF606F"/>
    <w:rsid w:val="00BF6134"/>
    <w:rsid w:val="00BF6B4E"/>
    <w:rsid w:val="00C0063B"/>
    <w:rsid w:val="00C039F1"/>
    <w:rsid w:val="00C03FCC"/>
    <w:rsid w:val="00C04093"/>
    <w:rsid w:val="00C042B2"/>
    <w:rsid w:val="00C061C8"/>
    <w:rsid w:val="00C10378"/>
    <w:rsid w:val="00C1080C"/>
    <w:rsid w:val="00C10A17"/>
    <w:rsid w:val="00C10A51"/>
    <w:rsid w:val="00C11498"/>
    <w:rsid w:val="00C11542"/>
    <w:rsid w:val="00C11735"/>
    <w:rsid w:val="00C11EBA"/>
    <w:rsid w:val="00C13A63"/>
    <w:rsid w:val="00C1405A"/>
    <w:rsid w:val="00C14396"/>
    <w:rsid w:val="00C15BA0"/>
    <w:rsid w:val="00C15C0D"/>
    <w:rsid w:val="00C1638C"/>
    <w:rsid w:val="00C16F64"/>
    <w:rsid w:val="00C17054"/>
    <w:rsid w:val="00C20949"/>
    <w:rsid w:val="00C219F1"/>
    <w:rsid w:val="00C2234D"/>
    <w:rsid w:val="00C234EC"/>
    <w:rsid w:val="00C24DC6"/>
    <w:rsid w:val="00C254E4"/>
    <w:rsid w:val="00C2580D"/>
    <w:rsid w:val="00C258C7"/>
    <w:rsid w:val="00C25F96"/>
    <w:rsid w:val="00C25FA3"/>
    <w:rsid w:val="00C26D90"/>
    <w:rsid w:val="00C27FFD"/>
    <w:rsid w:val="00C30030"/>
    <w:rsid w:val="00C307AA"/>
    <w:rsid w:val="00C30A4A"/>
    <w:rsid w:val="00C335E1"/>
    <w:rsid w:val="00C37096"/>
    <w:rsid w:val="00C37DF6"/>
    <w:rsid w:val="00C40634"/>
    <w:rsid w:val="00C41396"/>
    <w:rsid w:val="00C41493"/>
    <w:rsid w:val="00C41B7E"/>
    <w:rsid w:val="00C423EC"/>
    <w:rsid w:val="00C42576"/>
    <w:rsid w:val="00C430E6"/>
    <w:rsid w:val="00C43D79"/>
    <w:rsid w:val="00C4424B"/>
    <w:rsid w:val="00C453B7"/>
    <w:rsid w:val="00C45420"/>
    <w:rsid w:val="00C458DF"/>
    <w:rsid w:val="00C45DD0"/>
    <w:rsid w:val="00C466DF"/>
    <w:rsid w:val="00C4706C"/>
    <w:rsid w:val="00C4715D"/>
    <w:rsid w:val="00C47BBE"/>
    <w:rsid w:val="00C47C3D"/>
    <w:rsid w:val="00C50151"/>
    <w:rsid w:val="00C5136A"/>
    <w:rsid w:val="00C5147C"/>
    <w:rsid w:val="00C514FF"/>
    <w:rsid w:val="00C52745"/>
    <w:rsid w:val="00C54341"/>
    <w:rsid w:val="00C544AB"/>
    <w:rsid w:val="00C546BC"/>
    <w:rsid w:val="00C5510B"/>
    <w:rsid w:val="00C56FA4"/>
    <w:rsid w:val="00C572BC"/>
    <w:rsid w:val="00C60700"/>
    <w:rsid w:val="00C609DE"/>
    <w:rsid w:val="00C61B4B"/>
    <w:rsid w:val="00C63115"/>
    <w:rsid w:val="00C63D47"/>
    <w:rsid w:val="00C63E4A"/>
    <w:rsid w:val="00C6457F"/>
    <w:rsid w:val="00C64660"/>
    <w:rsid w:val="00C65333"/>
    <w:rsid w:val="00C662F7"/>
    <w:rsid w:val="00C666BA"/>
    <w:rsid w:val="00C7038D"/>
    <w:rsid w:val="00C74458"/>
    <w:rsid w:val="00C74E7A"/>
    <w:rsid w:val="00C76DA5"/>
    <w:rsid w:val="00C76DDE"/>
    <w:rsid w:val="00C77189"/>
    <w:rsid w:val="00C772ED"/>
    <w:rsid w:val="00C77449"/>
    <w:rsid w:val="00C80728"/>
    <w:rsid w:val="00C80D40"/>
    <w:rsid w:val="00C80EFB"/>
    <w:rsid w:val="00C81AA6"/>
    <w:rsid w:val="00C82815"/>
    <w:rsid w:val="00C82A3B"/>
    <w:rsid w:val="00C83061"/>
    <w:rsid w:val="00C84013"/>
    <w:rsid w:val="00C8608C"/>
    <w:rsid w:val="00C87D61"/>
    <w:rsid w:val="00C90581"/>
    <w:rsid w:val="00C90795"/>
    <w:rsid w:val="00C910B9"/>
    <w:rsid w:val="00C91805"/>
    <w:rsid w:val="00C920DA"/>
    <w:rsid w:val="00C92715"/>
    <w:rsid w:val="00C9294C"/>
    <w:rsid w:val="00C94759"/>
    <w:rsid w:val="00C94882"/>
    <w:rsid w:val="00C94EFA"/>
    <w:rsid w:val="00C95A71"/>
    <w:rsid w:val="00C96612"/>
    <w:rsid w:val="00C96B68"/>
    <w:rsid w:val="00C96C18"/>
    <w:rsid w:val="00CA063D"/>
    <w:rsid w:val="00CA0AEB"/>
    <w:rsid w:val="00CA0DE2"/>
    <w:rsid w:val="00CA1607"/>
    <w:rsid w:val="00CA172D"/>
    <w:rsid w:val="00CA2E83"/>
    <w:rsid w:val="00CA3781"/>
    <w:rsid w:val="00CA4941"/>
    <w:rsid w:val="00CA4C32"/>
    <w:rsid w:val="00CA55B6"/>
    <w:rsid w:val="00CA5C79"/>
    <w:rsid w:val="00CA770C"/>
    <w:rsid w:val="00CB1271"/>
    <w:rsid w:val="00CB2023"/>
    <w:rsid w:val="00CB3CB0"/>
    <w:rsid w:val="00CB420F"/>
    <w:rsid w:val="00CB4683"/>
    <w:rsid w:val="00CB50AE"/>
    <w:rsid w:val="00CB5D64"/>
    <w:rsid w:val="00CB65C4"/>
    <w:rsid w:val="00CB6C05"/>
    <w:rsid w:val="00CB7754"/>
    <w:rsid w:val="00CC0728"/>
    <w:rsid w:val="00CC1749"/>
    <w:rsid w:val="00CC1965"/>
    <w:rsid w:val="00CC1B61"/>
    <w:rsid w:val="00CC1F5E"/>
    <w:rsid w:val="00CC2247"/>
    <w:rsid w:val="00CC38DC"/>
    <w:rsid w:val="00CC5581"/>
    <w:rsid w:val="00CC6D42"/>
    <w:rsid w:val="00CC7363"/>
    <w:rsid w:val="00CC797A"/>
    <w:rsid w:val="00CC7CBD"/>
    <w:rsid w:val="00CD0B15"/>
    <w:rsid w:val="00CD0D06"/>
    <w:rsid w:val="00CD2002"/>
    <w:rsid w:val="00CD2683"/>
    <w:rsid w:val="00CD303C"/>
    <w:rsid w:val="00CD3E9A"/>
    <w:rsid w:val="00CD401A"/>
    <w:rsid w:val="00CD435C"/>
    <w:rsid w:val="00CD4BF7"/>
    <w:rsid w:val="00CD5046"/>
    <w:rsid w:val="00CD5520"/>
    <w:rsid w:val="00CD689C"/>
    <w:rsid w:val="00CD77B6"/>
    <w:rsid w:val="00CD7A8E"/>
    <w:rsid w:val="00CD7E84"/>
    <w:rsid w:val="00CE0B41"/>
    <w:rsid w:val="00CE1D42"/>
    <w:rsid w:val="00CE1D9E"/>
    <w:rsid w:val="00CE2204"/>
    <w:rsid w:val="00CE2F27"/>
    <w:rsid w:val="00CE3CF5"/>
    <w:rsid w:val="00CE58DD"/>
    <w:rsid w:val="00CE5B0E"/>
    <w:rsid w:val="00CE5B14"/>
    <w:rsid w:val="00CE626C"/>
    <w:rsid w:val="00CE7CD0"/>
    <w:rsid w:val="00CF05BC"/>
    <w:rsid w:val="00CF1D96"/>
    <w:rsid w:val="00CF2816"/>
    <w:rsid w:val="00CF46CF"/>
    <w:rsid w:val="00CF4B8B"/>
    <w:rsid w:val="00CF4E94"/>
    <w:rsid w:val="00CF5C03"/>
    <w:rsid w:val="00CF6625"/>
    <w:rsid w:val="00CF6898"/>
    <w:rsid w:val="00CF6A8C"/>
    <w:rsid w:val="00CF6CCD"/>
    <w:rsid w:val="00CF7C85"/>
    <w:rsid w:val="00D0009F"/>
    <w:rsid w:val="00D00EC0"/>
    <w:rsid w:val="00D0171B"/>
    <w:rsid w:val="00D02440"/>
    <w:rsid w:val="00D02710"/>
    <w:rsid w:val="00D02E72"/>
    <w:rsid w:val="00D04D26"/>
    <w:rsid w:val="00D06028"/>
    <w:rsid w:val="00D07283"/>
    <w:rsid w:val="00D10433"/>
    <w:rsid w:val="00D10BC4"/>
    <w:rsid w:val="00D1247D"/>
    <w:rsid w:val="00D12EB1"/>
    <w:rsid w:val="00D139BB"/>
    <w:rsid w:val="00D142DB"/>
    <w:rsid w:val="00D146A6"/>
    <w:rsid w:val="00D15186"/>
    <w:rsid w:val="00D15A35"/>
    <w:rsid w:val="00D16984"/>
    <w:rsid w:val="00D1699A"/>
    <w:rsid w:val="00D16A37"/>
    <w:rsid w:val="00D17F03"/>
    <w:rsid w:val="00D207A9"/>
    <w:rsid w:val="00D2245E"/>
    <w:rsid w:val="00D2354B"/>
    <w:rsid w:val="00D23FB9"/>
    <w:rsid w:val="00D25C8A"/>
    <w:rsid w:val="00D26975"/>
    <w:rsid w:val="00D270C9"/>
    <w:rsid w:val="00D2734D"/>
    <w:rsid w:val="00D30501"/>
    <w:rsid w:val="00D31A9C"/>
    <w:rsid w:val="00D31ECF"/>
    <w:rsid w:val="00D32104"/>
    <w:rsid w:val="00D3437F"/>
    <w:rsid w:val="00D34757"/>
    <w:rsid w:val="00D34D47"/>
    <w:rsid w:val="00D36256"/>
    <w:rsid w:val="00D3637B"/>
    <w:rsid w:val="00D3698B"/>
    <w:rsid w:val="00D3699A"/>
    <w:rsid w:val="00D37864"/>
    <w:rsid w:val="00D4021D"/>
    <w:rsid w:val="00D40736"/>
    <w:rsid w:val="00D42723"/>
    <w:rsid w:val="00D432B8"/>
    <w:rsid w:val="00D44ED9"/>
    <w:rsid w:val="00D45B05"/>
    <w:rsid w:val="00D46638"/>
    <w:rsid w:val="00D4686C"/>
    <w:rsid w:val="00D50A2A"/>
    <w:rsid w:val="00D5136B"/>
    <w:rsid w:val="00D516E7"/>
    <w:rsid w:val="00D521FD"/>
    <w:rsid w:val="00D52907"/>
    <w:rsid w:val="00D52B56"/>
    <w:rsid w:val="00D52DC0"/>
    <w:rsid w:val="00D551F1"/>
    <w:rsid w:val="00D55297"/>
    <w:rsid w:val="00D553D6"/>
    <w:rsid w:val="00D554DB"/>
    <w:rsid w:val="00D558E1"/>
    <w:rsid w:val="00D563FF"/>
    <w:rsid w:val="00D610E7"/>
    <w:rsid w:val="00D63F7A"/>
    <w:rsid w:val="00D645ED"/>
    <w:rsid w:val="00D66656"/>
    <w:rsid w:val="00D70E1D"/>
    <w:rsid w:val="00D7136D"/>
    <w:rsid w:val="00D73799"/>
    <w:rsid w:val="00D7718B"/>
    <w:rsid w:val="00D771F9"/>
    <w:rsid w:val="00D80437"/>
    <w:rsid w:val="00D80AA3"/>
    <w:rsid w:val="00D80C4E"/>
    <w:rsid w:val="00D8188F"/>
    <w:rsid w:val="00D8270F"/>
    <w:rsid w:val="00D8356E"/>
    <w:rsid w:val="00D835E2"/>
    <w:rsid w:val="00D8640A"/>
    <w:rsid w:val="00D91FCD"/>
    <w:rsid w:val="00D92B73"/>
    <w:rsid w:val="00D93FB8"/>
    <w:rsid w:val="00D94118"/>
    <w:rsid w:val="00D95076"/>
    <w:rsid w:val="00D9515B"/>
    <w:rsid w:val="00D969DB"/>
    <w:rsid w:val="00D96F62"/>
    <w:rsid w:val="00D96F72"/>
    <w:rsid w:val="00D97CA8"/>
    <w:rsid w:val="00DA07CD"/>
    <w:rsid w:val="00DA09C6"/>
    <w:rsid w:val="00DA0EFF"/>
    <w:rsid w:val="00DA24B7"/>
    <w:rsid w:val="00DA31E5"/>
    <w:rsid w:val="00DA3978"/>
    <w:rsid w:val="00DA45F7"/>
    <w:rsid w:val="00DA52B2"/>
    <w:rsid w:val="00DA56DA"/>
    <w:rsid w:val="00DA5FE1"/>
    <w:rsid w:val="00DA6431"/>
    <w:rsid w:val="00DA6966"/>
    <w:rsid w:val="00DA6F81"/>
    <w:rsid w:val="00DB045C"/>
    <w:rsid w:val="00DB1077"/>
    <w:rsid w:val="00DB1A3D"/>
    <w:rsid w:val="00DB1B97"/>
    <w:rsid w:val="00DB34EC"/>
    <w:rsid w:val="00DB64B2"/>
    <w:rsid w:val="00DB682F"/>
    <w:rsid w:val="00DB6E5C"/>
    <w:rsid w:val="00DB737F"/>
    <w:rsid w:val="00DB77A3"/>
    <w:rsid w:val="00DC0F86"/>
    <w:rsid w:val="00DC2270"/>
    <w:rsid w:val="00DC38E3"/>
    <w:rsid w:val="00DC5144"/>
    <w:rsid w:val="00DC54A2"/>
    <w:rsid w:val="00DC696E"/>
    <w:rsid w:val="00DC7895"/>
    <w:rsid w:val="00DD07C9"/>
    <w:rsid w:val="00DD1772"/>
    <w:rsid w:val="00DD2013"/>
    <w:rsid w:val="00DD27F8"/>
    <w:rsid w:val="00DD2B89"/>
    <w:rsid w:val="00DD39F1"/>
    <w:rsid w:val="00DD3C16"/>
    <w:rsid w:val="00DD43C9"/>
    <w:rsid w:val="00DD58A3"/>
    <w:rsid w:val="00DD5DE2"/>
    <w:rsid w:val="00DD6F6F"/>
    <w:rsid w:val="00DD7E0B"/>
    <w:rsid w:val="00DD7EBC"/>
    <w:rsid w:val="00DD7F21"/>
    <w:rsid w:val="00DE09F1"/>
    <w:rsid w:val="00DE337B"/>
    <w:rsid w:val="00DE3652"/>
    <w:rsid w:val="00DE376F"/>
    <w:rsid w:val="00DE4B82"/>
    <w:rsid w:val="00DE5260"/>
    <w:rsid w:val="00DE5446"/>
    <w:rsid w:val="00DE59ED"/>
    <w:rsid w:val="00DE6077"/>
    <w:rsid w:val="00DE79EF"/>
    <w:rsid w:val="00DF0026"/>
    <w:rsid w:val="00DF041D"/>
    <w:rsid w:val="00DF11D1"/>
    <w:rsid w:val="00DF27DA"/>
    <w:rsid w:val="00DF3561"/>
    <w:rsid w:val="00DF5365"/>
    <w:rsid w:val="00DF5A6B"/>
    <w:rsid w:val="00DF5A86"/>
    <w:rsid w:val="00E007C0"/>
    <w:rsid w:val="00E01AB6"/>
    <w:rsid w:val="00E02E0D"/>
    <w:rsid w:val="00E02F81"/>
    <w:rsid w:val="00E066EF"/>
    <w:rsid w:val="00E070B0"/>
    <w:rsid w:val="00E0721C"/>
    <w:rsid w:val="00E10A35"/>
    <w:rsid w:val="00E118A6"/>
    <w:rsid w:val="00E12998"/>
    <w:rsid w:val="00E1369E"/>
    <w:rsid w:val="00E13A42"/>
    <w:rsid w:val="00E13D94"/>
    <w:rsid w:val="00E144BD"/>
    <w:rsid w:val="00E14FEA"/>
    <w:rsid w:val="00E15575"/>
    <w:rsid w:val="00E15E6D"/>
    <w:rsid w:val="00E16A51"/>
    <w:rsid w:val="00E16E96"/>
    <w:rsid w:val="00E1764B"/>
    <w:rsid w:val="00E17E9C"/>
    <w:rsid w:val="00E221CE"/>
    <w:rsid w:val="00E230D6"/>
    <w:rsid w:val="00E23C57"/>
    <w:rsid w:val="00E241B3"/>
    <w:rsid w:val="00E2477E"/>
    <w:rsid w:val="00E25785"/>
    <w:rsid w:val="00E25C74"/>
    <w:rsid w:val="00E25ED0"/>
    <w:rsid w:val="00E273C5"/>
    <w:rsid w:val="00E27502"/>
    <w:rsid w:val="00E27A92"/>
    <w:rsid w:val="00E27C97"/>
    <w:rsid w:val="00E27ECA"/>
    <w:rsid w:val="00E27FD4"/>
    <w:rsid w:val="00E30026"/>
    <w:rsid w:val="00E334D5"/>
    <w:rsid w:val="00E3362F"/>
    <w:rsid w:val="00E3392A"/>
    <w:rsid w:val="00E33D3F"/>
    <w:rsid w:val="00E34A05"/>
    <w:rsid w:val="00E35B4B"/>
    <w:rsid w:val="00E37974"/>
    <w:rsid w:val="00E4047D"/>
    <w:rsid w:val="00E40661"/>
    <w:rsid w:val="00E424C7"/>
    <w:rsid w:val="00E4280E"/>
    <w:rsid w:val="00E42825"/>
    <w:rsid w:val="00E42AFE"/>
    <w:rsid w:val="00E42D7E"/>
    <w:rsid w:val="00E43142"/>
    <w:rsid w:val="00E431F9"/>
    <w:rsid w:val="00E4373D"/>
    <w:rsid w:val="00E447FC"/>
    <w:rsid w:val="00E4586D"/>
    <w:rsid w:val="00E45B2B"/>
    <w:rsid w:val="00E46A4A"/>
    <w:rsid w:val="00E46DE4"/>
    <w:rsid w:val="00E4709D"/>
    <w:rsid w:val="00E4744C"/>
    <w:rsid w:val="00E51B6F"/>
    <w:rsid w:val="00E51F3E"/>
    <w:rsid w:val="00E529C9"/>
    <w:rsid w:val="00E52A71"/>
    <w:rsid w:val="00E534D6"/>
    <w:rsid w:val="00E537A0"/>
    <w:rsid w:val="00E54209"/>
    <w:rsid w:val="00E558CA"/>
    <w:rsid w:val="00E56416"/>
    <w:rsid w:val="00E568BB"/>
    <w:rsid w:val="00E57E4E"/>
    <w:rsid w:val="00E60775"/>
    <w:rsid w:val="00E62021"/>
    <w:rsid w:val="00E62510"/>
    <w:rsid w:val="00E62B7B"/>
    <w:rsid w:val="00E62F87"/>
    <w:rsid w:val="00E630B8"/>
    <w:rsid w:val="00E6386C"/>
    <w:rsid w:val="00E6422F"/>
    <w:rsid w:val="00E646DE"/>
    <w:rsid w:val="00E65083"/>
    <w:rsid w:val="00E659AE"/>
    <w:rsid w:val="00E65A48"/>
    <w:rsid w:val="00E65B10"/>
    <w:rsid w:val="00E662C4"/>
    <w:rsid w:val="00E6759A"/>
    <w:rsid w:val="00E67637"/>
    <w:rsid w:val="00E70512"/>
    <w:rsid w:val="00E7108C"/>
    <w:rsid w:val="00E714F6"/>
    <w:rsid w:val="00E71756"/>
    <w:rsid w:val="00E734E2"/>
    <w:rsid w:val="00E741FE"/>
    <w:rsid w:val="00E7593E"/>
    <w:rsid w:val="00E76A1D"/>
    <w:rsid w:val="00E77FB8"/>
    <w:rsid w:val="00E8149B"/>
    <w:rsid w:val="00E84B6B"/>
    <w:rsid w:val="00E864CB"/>
    <w:rsid w:val="00E86775"/>
    <w:rsid w:val="00E86BC2"/>
    <w:rsid w:val="00E86C4B"/>
    <w:rsid w:val="00E928C1"/>
    <w:rsid w:val="00E9290C"/>
    <w:rsid w:val="00E94157"/>
    <w:rsid w:val="00E94C3B"/>
    <w:rsid w:val="00E951DC"/>
    <w:rsid w:val="00E978D6"/>
    <w:rsid w:val="00EA0BCE"/>
    <w:rsid w:val="00EA0CA9"/>
    <w:rsid w:val="00EA1645"/>
    <w:rsid w:val="00EA1D01"/>
    <w:rsid w:val="00EA239A"/>
    <w:rsid w:val="00EA24D4"/>
    <w:rsid w:val="00EA263A"/>
    <w:rsid w:val="00EA2852"/>
    <w:rsid w:val="00EA45C9"/>
    <w:rsid w:val="00EA4AB0"/>
    <w:rsid w:val="00EA5E4D"/>
    <w:rsid w:val="00EA5E90"/>
    <w:rsid w:val="00EA7C06"/>
    <w:rsid w:val="00EB0223"/>
    <w:rsid w:val="00EB1501"/>
    <w:rsid w:val="00EB20AC"/>
    <w:rsid w:val="00EB3DF5"/>
    <w:rsid w:val="00EB4293"/>
    <w:rsid w:val="00EB4511"/>
    <w:rsid w:val="00EB5616"/>
    <w:rsid w:val="00EB73A4"/>
    <w:rsid w:val="00EB78C5"/>
    <w:rsid w:val="00EC2070"/>
    <w:rsid w:val="00EC2A18"/>
    <w:rsid w:val="00EC3704"/>
    <w:rsid w:val="00EC5782"/>
    <w:rsid w:val="00EC6AF4"/>
    <w:rsid w:val="00EC7AD8"/>
    <w:rsid w:val="00EC7BFD"/>
    <w:rsid w:val="00ED0A90"/>
    <w:rsid w:val="00ED12EA"/>
    <w:rsid w:val="00ED2667"/>
    <w:rsid w:val="00ED2933"/>
    <w:rsid w:val="00ED3854"/>
    <w:rsid w:val="00ED3893"/>
    <w:rsid w:val="00ED3E8E"/>
    <w:rsid w:val="00ED5B46"/>
    <w:rsid w:val="00ED5C68"/>
    <w:rsid w:val="00ED5FEA"/>
    <w:rsid w:val="00ED6642"/>
    <w:rsid w:val="00ED6C37"/>
    <w:rsid w:val="00ED6D38"/>
    <w:rsid w:val="00ED72D9"/>
    <w:rsid w:val="00EE0B6F"/>
    <w:rsid w:val="00EE4D89"/>
    <w:rsid w:val="00EE63A1"/>
    <w:rsid w:val="00EF00B6"/>
    <w:rsid w:val="00EF0606"/>
    <w:rsid w:val="00EF06A4"/>
    <w:rsid w:val="00EF0D6F"/>
    <w:rsid w:val="00EF1BFB"/>
    <w:rsid w:val="00EF2525"/>
    <w:rsid w:val="00EF2C56"/>
    <w:rsid w:val="00EF2FA2"/>
    <w:rsid w:val="00EF3466"/>
    <w:rsid w:val="00EF480A"/>
    <w:rsid w:val="00EF58B3"/>
    <w:rsid w:val="00EF622F"/>
    <w:rsid w:val="00EF69D3"/>
    <w:rsid w:val="00EF749A"/>
    <w:rsid w:val="00EF795C"/>
    <w:rsid w:val="00F00033"/>
    <w:rsid w:val="00F005BB"/>
    <w:rsid w:val="00F033F7"/>
    <w:rsid w:val="00F04044"/>
    <w:rsid w:val="00F041F1"/>
    <w:rsid w:val="00F04AB6"/>
    <w:rsid w:val="00F04D13"/>
    <w:rsid w:val="00F04E63"/>
    <w:rsid w:val="00F05813"/>
    <w:rsid w:val="00F07C13"/>
    <w:rsid w:val="00F10EEF"/>
    <w:rsid w:val="00F14004"/>
    <w:rsid w:val="00F14928"/>
    <w:rsid w:val="00F16A01"/>
    <w:rsid w:val="00F1756F"/>
    <w:rsid w:val="00F175E1"/>
    <w:rsid w:val="00F20F68"/>
    <w:rsid w:val="00F21C94"/>
    <w:rsid w:val="00F21EA8"/>
    <w:rsid w:val="00F23800"/>
    <w:rsid w:val="00F245CE"/>
    <w:rsid w:val="00F24BEC"/>
    <w:rsid w:val="00F25088"/>
    <w:rsid w:val="00F25BF1"/>
    <w:rsid w:val="00F2603E"/>
    <w:rsid w:val="00F306F9"/>
    <w:rsid w:val="00F311B5"/>
    <w:rsid w:val="00F32E2C"/>
    <w:rsid w:val="00F33261"/>
    <w:rsid w:val="00F356C7"/>
    <w:rsid w:val="00F36BA6"/>
    <w:rsid w:val="00F37596"/>
    <w:rsid w:val="00F401E1"/>
    <w:rsid w:val="00F408DD"/>
    <w:rsid w:val="00F41092"/>
    <w:rsid w:val="00F41E1E"/>
    <w:rsid w:val="00F43E6A"/>
    <w:rsid w:val="00F44D8E"/>
    <w:rsid w:val="00F4502C"/>
    <w:rsid w:val="00F4587A"/>
    <w:rsid w:val="00F4621F"/>
    <w:rsid w:val="00F47715"/>
    <w:rsid w:val="00F50284"/>
    <w:rsid w:val="00F5143A"/>
    <w:rsid w:val="00F519D8"/>
    <w:rsid w:val="00F519ED"/>
    <w:rsid w:val="00F531E4"/>
    <w:rsid w:val="00F53E42"/>
    <w:rsid w:val="00F540DE"/>
    <w:rsid w:val="00F5512B"/>
    <w:rsid w:val="00F57A6A"/>
    <w:rsid w:val="00F6072B"/>
    <w:rsid w:val="00F60B06"/>
    <w:rsid w:val="00F61002"/>
    <w:rsid w:val="00F62252"/>
    <w:rsid w:val="00F630BE"/>
    <w:rsid w:val="00F639F6"/>
    <w:rsid w:val="00F63C49"/>
    <w:rsid w:val="00F67310"/>
    <w:rsid w:val="00F67E6D"/>
    <w:rsid w:val="00F70103"/>
    <w:rsid w:val="00F701D1"/>
    <w:rsid w:val="00F7031F"/>
    <w:rsid w:val="00F7043C"/>
    <w:rsid w:val="00F71476"/>
    <w:rsid w:val="00F71E39"/>
    <w:rsid w:val="00F72EC6"/>
    <w:rsid w:val="00F7351B"/>
    <w:rsid w:val="00F738AA"/>
    <w:rsid w:val="00F73D8B"/>
    <w:rsid w:val="00F75163"/>
    <w:rsid w:val="00F755FF"/>
    <w:rsid w:val="00F76033"/>
    <w:rsid w:val="00F76934"/>
    <w:rsid w:val="00F76A84"/>
    <w:rsid w:val="00F775CB"/>
    <w:rsid w:val="00F80EF5"/>
    <w:rsid w:val="00F81467"/>
    <w:rsid w:val="00F8148A"/>
    <w:rsid w:val="00F83665"/>
    <w:rsid w:val="00F83AAF"/>
    <w:rsid w:val="00F84132"/>
    <w:rsid w:val="00F85291"/>
    <w:rsid w:val="00F85C18"/>
    <w:rsid w:val="00F85E33"/>
    <w:rsid w:val="00F85F31"/>
    <w:rsid w:val="00F86D47"/>
    <w:rsid w:val="00F86E37"/>
    <w:rsid w:val="00F9072F"/>
    <w:rsid w:val="00F91278"/>
    <w:rsid w:val="00F91833"/>
    <w:rsid w:val="00F93041"/>
    <w:rsid w:val="00F958EE"/>
    <w:rsid w:val="00F95E5B"/>
    <w:rsid w:val="00F95F7D"/>
    <w:rsid w:val="00F9682D"/>
    <w:rsid w:val="00F97776"/>
    <w:rsid w:val="00F977A6"/>
    <w:rsid w:val="00F97C51"/>
    <w:rsid w:val="00FA5362"/>
    <w:rsid w:val="00FA69EA"/>
    <w:rsid w:val="00FA726E"/>
    <w:rsid w:val="00FB0246"/>
    <w:rsid w:val="00FB1574"/>
    <w:rsid w:val="00FB16AA"/>
    <w:rsid w:val="00FB1AB9"/>
    <w:rsid w:val="00FB1BA2"/>
    <w:rsid w:val="00FB319B"/>
    <w:rsid w:val="00FB38D0"/>
    <w:rsid w:val="00FB4D3C"/>
    <w:rsid w:val="00FB5319"/>
    <w:rsid w:val="00FB5A24"/>
    <w:rsid w:val="00FB6AAD"/>
    <w:rsid w:val="00FB70D8"/>
    <w:rsid w:val="00FC0129"/>
    <w:rsid w:val="00FC20E2"/>
    <w:rsid w:val="00FC2E02"/>
    <w:rsid w:val="00FC5C5E"/>
    <w:rsid w:val="00FC7399"/>
    <w:rsid w:val="00FC7D7E"/>
    <w:rsid w:val="00FD066D"/>
    <w:rsid w:val="00FD0B21"/>
    <w:rsid w:val="00FD0B70"/>
    <w:rsid w:val="00FD0BAB"/>
    <w:rsid w:val="00FD14BB"/>
    <w:rsid w:val="00FD27E2"/>
    <w:rsid w:val="00FD309C"/>
    <w:rsid w:val="00FD331B"/>
    <w:rsid w:val="00FD3943"/>
    <w:rsid w:val="00FD4397"/>
    <w:rsid w:val="00FD5785"/>
    <w:rsid w:val="00FD644B"/>
    <w:rsid w:val="00FD78AA"/>
    <w:rsid w:val="00FD7F33"/>
    <w:rsid w:val="00FD7FC6"/>
    <w:rsid w:val="00FE0B5B"/>
    <w:rsid w:val="00FE0D9A"/>
    <w:rsid w:val="00FE1160"/>
    <w:rsid w:val="00FE13B7"/>
    <w:rsid w:val="00FE34AA"/>
    <w:rsid w:val="00FE3BF8"/>
    <w:rsid w:val="00FE4730"/>
    <w:rsid w:val="00FE4C08"/>
    <w:rsid w:val="00FE5CC1"/>
    <w:rsid w:val="00FE7786"/>
    <w:rsid w:val="00FF0181"/>
    <w:rsid w:val="00FF0F52"/>
    <w:rsid w:val="00FF173B"/>
    <w:rsid w:val="00FF1842"/>
    <w:rsid w:val="00FF2457"/>
    <w:rsid w:val="00FF28ED"/>
    <w:rsid w:val="00FF293F"/>
    <w:rsid w:val="00FF2ADC"/>
    <w:rsid w:val="00FF388D"/>
    <w:rsid w:val="00FF3E6F"/>
    <w:rsid w:val="00FF4113"/>
    <w:rsid w:val="00FF4273"/>
    <w:rsid w:val="00FF47A0"/>
    <w:rsid w:val="00FF5708"/>
    <w:rsid w:val="00FF5B5F"/>
    <w:rsid w:val="00FF5CB1"/>
    <w:rsid w:val="00FF5EC1"/>
    <w:rsid w:val="00FF6155"/>
    <w:rsid w:val="00FF746A"/>
    <w:rsid w:val="00FF7BEA"/>
    <w:rsid w:val="01D95BBC"/>
    <w:rsid w:val="033B26EA"/>
    <w:rsid w:val="043D7270"/>
    <w:rsid w:val="04904071"/>
    <w:rsid w:val="05753737"/>
    <w:rsid w:val="05A6673D"/>
    <w:rsid w:val="05EA5FD4"/>
    <w:rsid w:val="067A2EBC"/>
    <w:rsid w:val="071C3F99"/>
    <w:rsid w:val="08CD16DE"/>
    <w:rsid w:val="0A1E750D"/>
    <w:rsid w:val="0B4A63AC"/>
    <w:rsid w:val="0B926386"/>
    <w:rsid w:val="0BCE4A13"/>
    <w:rsid w:val="0CA013B6"/>
    <w:rsid w:val="0CB12724"/>
    <w:rsid w:val="0DF31448"/>
    <w:rsid w:val="0E5247BC"/>
    <w:rsid w:val="0E6A4C54"/>
    <w:rsid w:val="0E720B47"/>
    <w:rsid w:val="11DB3E91"/>
    <w:rsid w:val="13005983"/>
    <w:rsid w:val="1538360C"/>
    <w:rsid w:val="158B3E4F"/>
    <w:rsid w:val="170C3658"/>
    <w:rsid w:val="17DA2AD3"/>
    <w:rsid w:val="188C2BC6"/>
    <w:rsid w:val="1A0135C7"/>
    <w:rsid w:val="1A533C45"/>
    <w:rsid w:val="1DF40CF8"/>
    <w:rsid w:val="205A389B"/>
    <w:rsid w:val="26226C1A"/>
    <w:rsid w:val="270C3DEC"/>
    <w:rsid w:val="277B1E5F"/>
    <w:rsid w:val="286F21E4"/>
    <w:rsid w:val="2A2200E1"/>
    <w:rsid w:val="2BB90FA9"/>
    <w:rsid w:val="2C2260C7"/>
    <w:rsid w:val="2DDC5334"/>
    <w:rsid w:val="2E5D4BBB"/>
    <w:rsid w:val="2E9139B5"/>
    <w:rsid w:val="2FB33019"/>
    <w:rsid w:val="2FBE4EA5"/>
    <w:rsid w:val="306D36FD"/>
    <w:rsid w:val="32635EA7"/>
    <w:rsid w:val="34185047"/>
    <w:rsid w:val="375D0167"/>
    <w:rsid w:val="38691707"/>
    <w:rsid w:val="38FE4742"/>
    <w:rsid w:val="3A2F74BB"/>
    <w:rsid w:val="3A781B24"/>
    <w:rsid w:val="3AE828F7"/>
    <w:rsid w:val="3B442FFA"/>
    <w:rsid w:val="3E2A0F30"/>
    <w:rsid w:val="3F2E0EDE"/>
    <w:rsid w:val="3F8333F4"/>
    <w:rsid w:val="41B86B04"/>
    <w:rsid w:val="43B97536"/>
    <w:rsid w:val="45185BE5"/>
    <w:rsid w:val="457B02D1"/>
    <w:rsid w:val="47AD7273"/>
    <w:rsid w:val="481A0C88"/>
    <w:rsid w:val="48494DD1"/>
    <w:rsid w:val="498D48BB"/>
    <w:rsid w:val="4BE0774C"/>
    <w:rsid w:val="4C542944"/>
    <w:rsid w:val="4D6A62B4"/>
    <w:rsid w:val="50535BC2"/>
    <w:rsid w:val="51444388"/>
    <w:rsid w:val="51ED65D2"/>
    <w:rsid w:val="527723F1"/>
    <w:rsid w:val="54DB6FB3"/>
    <w:rsid w:val="57B824CC"/>
    <w:rsid w:val="5C0E22BC"/>
    <w:rsid w:val="5C661B7A"/>
    <w:rsid w:val="5C771158"/>
    <w:rsid w:val="5C883A65"/>
    <w:rsid w:val="5CFB4489"/>
    <w:rsid w:val="5E0C4777"/>
    <w:rsid w:val="5E8C3AA4"/>
    <w:rsid w:val="601115B5"/>
    <w:rsid w:val="618F01D1"/>
    <w:rsid w:val="62D577D5"/>
    <w:rsid w:val="659C0E4D"/>
    <w:rsid w:val="66A55426"/>
    <w:rsid w:val="67AF0C1C"/>
    <w:rsid w:val="67DD22B7"/>
    <w:rsid w:val="67E95848"/>
    <w:rsid w:val="68714696"/>
    <w:rsid w:val="69B63DAC"/>
    <w:rsid w:val="69EF6FC0"/>
    <w:rsid w:val="6D9477BC"/>
    <w:rsid w:val="6EF30A7C"/>
    <w:rsid w:val="70042BDD"/>
    <w:rsid w:val="70CF7155"/>
    <w:rsid w:val="72370848"/>
    <w:rsid w:val="72370FF0"/>
    <w:rsid w:val="726676BC"/>
    <w:rsid w:val="752A184A"/>
    <w:rsid w:val="776F628B"/>
    <w:rsid w:val="77773488"/>
    <w:rsid w:val="77F57675"/>
    <w:rsid w:val="7A681CC9"/>
    <w:rsid w:val="7AD602B2"/>
    <w:rsid w:val="7B146BAA"/>
    <w:rsid w:val="7C01772A"/>
    <w:rsid w:val="7F237ACB"/>
    <w:rsid w:val="7FB558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numPr>
        <w:ilvl w:val="0"/>
        <w:numId w:val="1"/>
      </w:numPr>
      <w:outlineLvl w:val="0"/>
    </w:pPr>
    <w:rPr>
      <w:rFonts w:ascii="宋体"/>
      <w:sz w:val="28"/>
      <w:szCs w:val="20"/>
    </w:rPr>
  </w:style>
  <w:style w:type="paragraph" w:styleId="3">
    <w:name w:val="heading 2"/>
    <w:basedOn w:val="1"/>
    <w:next w:val="4"/>
    <w:qFormat/>
    <w:uiPriority w:val="0"/>
    <w:pPr>
      <w:numPr>
        <w:ilvl w:val="1"/>
        <w:numId w:val="2"/>
      </w:numPr>
      <w:tabs>
        <w:tab w:val="left" w:pos="1080"/>
      </w:tabs>
      <w:spacing w:before="60" w:after="60"/>
      <w:outlineLvl w:val="1"/>
    </w:pPr>
    <w:rPr>
      <w:rFonts w:ascii="Arial" w:hAnsi="Arial"/>
      <w:sz w:val="24"/>
      <w:szCs w:val="20"/>
    </w:rPr>
  </w:style>
  <w:style w:type="paragraph" w:styleId="5">
    <w:name w:val="heading 3"/>
    <w:basedOn w:val="1"/>
    <w:next w:val="1"/>
    <w:qFormat/>
    <w:uiPriority w:val="0"/>
    <w:pPr>
      <w:keepLines/>
      <w:numPr>
        <w:ilvl w:val="2"/>
        <w:numId w:val="2"/>
      </w:numPr>
      <w:spacing w:before="120" w:after="60"/>
      <w:outlineLvl w:val="2"/>
    </w:pPr>
    <w:rPr>
      <w:bCs/>
      <w:sz w:val="24"/>
      <w:szCs w:val="32"/>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1"/>
    <w:qFormat/>
    <w:uiPriority w:val="0"/>
    <w:pPr>
      <w:keepNext/>
      <w:keepLines/>
      <w:spacing w:before="240" w:after="64" w:line="320" w:lineRule="auto"/>
      <w:outlineLvl w:val="6"/>
    </w:pPr>
    <w:rPr>
      <w:b/>
      <w:bCs/>
      <w:sz w:val="24"/>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9">
    <w:name w:val="annotation subject"/>
    <w:basedOn w:val="10"/>
    <w:next w:val="10"/>
    <w:semiHidden/>
    <w:qFormat/>
    <w:uiPriority w:val="0"/>
    <w:rPr>
      <w:b/>
      <w:bCs/>
    </w:rPr>
  </w:style>
  <w:style w:type="paragraph" w:styleId="10">
    <w:name w:val="annotation text"/>
    <w:basedOn w:val="1"/>
    <w:semiHidden/>
    <w:qFormat/>
    <w:uiPriority w:val="0"/>
    <w:pPr>
      <w:jc w:val="left"/>
    </w:pPr>
  </w:style>
  <w:style w:type="paragraph" w:styleId="11">
    <w:name w:val="Body Text"/>
    <w:basedOn w:val="1"/>
    <w:qFormat/>
    <w:uiPriority w:val="0"/>
    <w:pPr>
      <w:spacing w:after="120"/>
    </w:pPr>
  </w:style>
  <w:style w:type="paragraph" w:styleId="12">
    <w:name w:val="Date"/>
    <w:basedOn w:val="1"/>
    <w:next w:val="1"/>
    <w:qFormat/>
    <w:uiPriority w:val="0"/>
    <w:pPr>
      <w:ind w:left="100" w:leftChars="2500"/>
    </w:pPr>
  </w:style>
  <w:style w:type="paragraph" w:styleId="13">
    <w:name w:val="Balloon Text"/>
    <w:basedOn w:val="1"/>
    <w:semiHidden/>
    <w:qFormat/>
    <w:uiPriority w:val="0"/>
    <w:rPr>
      <w:sz w:val="18"/>
      <w:szCs w:val="18"/>
    </w:rPr>
  </w:style>
  <w:style w:type="paragraph" w:styleId="14">
    <w:name w:val="footer"/>
    <w:basedOn w:val="1"/>
    <w:link w:val="31"/>
    <w:qFormat/>
    <w:uiPriority w:val="99"/>
    <w:pPr>
      <w:tabs>
        <w:tab w:val="center" w:pos="4153"/>
        <w:tab w:val="right" w:pos="8306"/>
      </w:tabs>
      <w:snapToGrid w:val="0"/>
      <w:jc w:val="left"/>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38"/>
    <w:qFormat/>
    <w:uiPriority w:val="0"/>
    <w:pPr>
      <w:spacing w:after="120"/>
      <w:ind w:left="420" w:leftChars="200"/>
    </w:pPr>
    <w:rPr>
      <w:sz w:val="16"/>
      <w:szCs w:val="16"/>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9">
    <w:name w:val="page number"/>
    <w:basedOn w:val="18"/>
    <w:qFormat/>
    <w:uiPriority w:val="0"/>
  </w:style>
  <w:style w:type="character" w:styleId="20">
    <w:name w:val="Hyperlink"/>
    <w:qFormat/>
    <w:uiPriority w:val="0"/>
    <w:rPr>
      <w:color w:val="0000FF"/>
      <w:u w:val="single"/>
    </w:rPr>
  </w:style>
  <w:style w:type="character" w:styleId="21">
    <w:name w:val="annotation reference"/>
    <w:semiHidden/>
    <w:qFormat/>
    <w:uiPriority w:val="0"/>
    <w:rPr>
      <w:sz w:val="21"/>
      <w:szCs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4">
    <w:name w:val="Table Theme"/>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articletitle1"/>
    <w:qFormat/>
    <w:uiPriority w:val="0"/>
    <w:rPr>
      <w:sz w:val="21"/>
      <w:szCs w:val="21"/>
    </w:rPr>
  </w:style>
  <w:style w:type="character" w:customStyle="1" w:styleId="26">
    <w:name w:val="articlebody1"/>
    <w:qFormat/>
    <w:uiPriority w:val="0"/>
    <w:rPr>
      <w:sz w:val="21"/>
      <w:szCs w:val="21"/>
    </w:rPr>
  </w:style>
  <w:style w:type="paragraph" w:customStyle="1" w:styleId="27">
    <w:name w:val="样式 首行缩进:  2 字符"/>
    <w:basedOn w:val="1"/>
    <w:qFormat/>
    <w:uiPriority w:val="0"/>
    <w:pPr>
      <w:spacing w:before="60" w:after="60"/>
      <w:ind w:firstLine="480" w:firstLineChars="200"/>
    </w:pPr>
    <w:rPr>
      <w:sz w:val="24"/>
      <w:szCs w:val="20"/>
    </w:rPr>
  </w:style>
  <w:style w:type="paragraph" w:customStyle="1" w:styleId="28">
    <w:name w:val="Char Char"/>
    <w:basedOn w:val="1"/>
    <w:qFormat/>
    <w:uiPriority w:val="0"/>
    <w:rPr>
      <w:rFonts w:ascii="Tahoma" w:hAnsi="Tahoma"/>
      <w:sz w:val="24"/>
      <w:szCs w:val="20"/>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0">
    <w:name w:val="页眉 Char"/>
    <w:link w:val="15"/>
    <w:qFormat/>
    <w:uiPriority w:val="0"/>
    <w:rPr>
      <w:kern w:val="2"/>
      <w:sz w:val="18"/>
      <w:szCs w:val="18"/>
    </w:rPr>
  </w:style>
  <w:style w:type="character" w:customStyle="1" w:styleId="31">
    <w:name w:val="页脚 Char"/>
    <w:link w:val="14"/>
    <w:qFormat/>
    <w:uiPriority w:val="99"/>
    <w:rPr>
      <w:kern w:val="2"/>
      <w:sz w:val="18"/>
      <w:szCs w:val="18"/>
    </w:rPr>
  </w:style>
  <w:style w:type="paragraph" w:customStyle="1" w:styleId="3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
    <w:name w:val="NYIndenture_L1"/>
    <w:basedOn w:val="1"/>
    <w:next w:val="11"/>
    <w:qFormat/>
    <w:uiPriority w:val="0"/>
    <w:pPr>
      <w:widowControl/>
      <w:numPr>
        <w:ilvl w:val="0"/>
        <w:numId w:val="3"/>
      </w:numPr>
      <w:spacing w:after="240"/>
      <w:jc w:val="center"/>
      <w:outlineLvl w:val="0"/>
    </w:pPr>
    <w:rPr>
      <w:kern w:val="0"/>
      <w:sz w:val="24"/>
      <w:szCs w:val="20"/>
      <w:lang w:eastAsia="en-US"/>
    </w:rPr>
  </w:style>
  <w:style w:type="paragraph" w:customStyle="1" w:styleId="34">
    <w:name w:val="NYIndenture_L2"/>
    <w:basedOn w:val="33"/>
    <w:next w:val="11"/>
    <w:qFormat/>
    <w:uiPriority w:val="0"/>
    <w:pPr>
      <w:numPr>
        <w:ilvl w:val="1"/>
      </w:numPr>
      <w:jc w:val="left"/>
      <w:outlineLvl w:val="1"/>
    </w:pPr>
  </w:style>
  <w:style w:type="paragraph" w:customStyle="1" w:styleId="35">
    <w:name w:val="NYIndenture_L3"/>
    <w:basedOn w:val="34"/>
    <w:next w:val="11"/>
    <w:qFormat/>
    <w:uiPriority w:val="0"/>
    <w:pPr>
      <w:numPr>
        <w:ilvl w:val="2"/>
      </w:numPr>
      <w:outlineLvl w:val="2"/>
    </w:pPr>
  </w:style>
  <w:style w:type="paragraph" w:customStyle="1" w:styleId="36">
    <w:name w:val="NYIndenture_L4"/>
    <w:basedOn w:val="35"/>
    <w:next w:val="11"/>
    <w:qFormat/>
    <w:uiPriority w:val="0"/>
    <w:pPr>
      <w:numPr>
        <w:ilvl w:val="3"/>
      </w:numPr>
      <w:outlineLvl w:val="3"/>
    </w:pPr>
  </w:style>
  <w:style w:type="paragraph" w:customStyle="1" w:styleId="37">
    <w:name w:val="NYIndenture_L5"/>
    <w:basedOn w:val="36"/>
    <w:next w:val="11"/>
    <w:qFormat/>
    <w:uiPriority w:val="0"/>
    <w:pPr>
      <w:numPr>
        <w:ilvl w:val="4"/>
      </w:numPr>
      <w:outlineLvl w:val="4"/>
    </w:pPr>
  </w:style>
  <w:style w:type="character" w:customStyle="1" w:styleId="38">
    <w:name w:val="正文文本缩进 3 Char"/>
    <w:link w:val="16"/>
    <w:qFormat/>
    <w:uiPriority w:val="0"/>
    <w:rPr>
      <w:kern w:val="2"/>
      <w:sz w:val="16"/>
      <w:szCs w:val="16"/>
    </w:rPr>
  </w:style>
  <w:style w:type="character" w:customStyle="1" w:styleId="39">
    <w:name w:val="标题 1 Char"/>
    <w:link w:val="2"/>
    <w:qFormat/>
    <w:uiPriority w:val="0"/>
    <w:rPr>
      <w:rFonts w:ascii="宋体"/>
      <w:kern w:val="2"/>
      <w:sz w:val="28"/>
    </w:rPr>
  </w:style>
  <w:style w:type="paragraph" w:customStyle="1" w:styleId="40">
    <w:name w:val="CM3"/>
    <w:basedOn w:val="1"/>
    <w:next w:val="1"/>
    <w:qFormat/>
    <w:uiPriority w:val="0"/>
    <w:pPr>
      <w:autoSpaceDE w:val="0"/>
      <w:autoSpaceDN w:val="0"/>
      <w:adjustRightInd w:val="0"/>
      <w:spacing w:line="620" w:lineRule="atLeast"/>
      <w:jc w:val="left"/>
    </w:pPr>
    <w:rPr>
      <w:rFonts w:ascii="黑体" w:eastAsia="黑体" w:cs="黑体"/>
      <w:kern w:val="0"/>
      <w:sz w:val="24"/>
    </w:rPr>
  </w:style>
  <w:style w:type="character" w:customStyle="1" w:styleId="41">
    <w:name w:val="标题 7 Char"/>
    <w:link w:val="8"/>
    <w:qFormat/>
    <w:uiPriority w:val="0"/>
    <w:rPr>
      <w:b/>
      <w:bCs/>
      <w:kern w:val="2"/>
      <w:sz w:val="24"/>
      <w:szCs w:val="24"/>
    </w:rPr>
  </w:style>
  <w:style w:type="paragraph" w:customStyle="1" w:styleId="42">
    <w:name w:val="zw"/>
    <w:basedOn w:val="1"/>
    <w:link w:val="43"/>
    <w:qFormat/>
    <w:uiPriority w:val="0"/>
    <w:pPr>
      <w:adjustRightInd w:val="0"/>
      <w:spacing w:line="360" w:lineRule="auto"/>
      <w:ind w:firstLine="482"/>
      <w:textAlignment w:val="baseline"/>
    </w:pPr>
    <w:rPr>
      <w:rFonts w:ascii="Arial Narrow" w:hAnsi="Arial Narrow" w:eastAsia="楷体_GB2312"/>
      <w:kern w:val="0"/>
      <w:sz w:val="24"/>
      <w:szCs w:val="20"/>
    </w:rPr>
  </w:style>
  <w:style w:type="character" w:customStyle="1" w:styleId="43">
    <w:name w:val="zw Char Char"/>
    <w:link w:val="42"/>
    <w:qFormat/>
    <w:uiPriority w:val="0"/>
    <w:rPr>
      <w:rFonts w:ascii="Arial Narrow" w:hAnsi="Arial Narrow" w:eastAsia="楷体_GB2312"/>
      <w:sz w:val="24"/>
    </w:rPr>
  </w:style>
  <w:style w:type="paragraph" w:customStyle="1" w:styleId="44">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4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39B72-F848-41F1-B74C-7CEC73C192D7}">
  <ds:schemaRefs/>
</ds:datastoreItem>
</file>

<file path=docProps/app.xml><?xml version="1.0" encoding="utf-8"?>
<Properties xmlns="http://schemas.openxmlformats.org/officeDocument/2006/extended-properties" xmlns:vt="http://schemas.openxmlformats.org/officeDocument/2006/docPropsVTypes">
  <Template>Normal</Template>
  <Pages>20</Pages>
  <Words>2232</Words>
  <Characters>12727</Characters>
  <Lines>106</Lines>
  <Paragraphs>29</Paragraphs>
  <ScaleCrop>false</ScaleCrop>
  <LinksUpToDate>false</LinksUpToDate>
  <CharactersWithSpaces>14930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2018-05-30T07:20:00Z</dcterms:created>
  <dc:creator>bill</dc:creator>
  <cp:lastModifiedBy>admin</cp:lastModifiedBy>
  <cp:lastPrinted>2019-09-27T05:50:00Z</cp:lastPrinted>
  <dcterms:modified xsi:type="dcterms:W3CDTF">2019-09-27T06:35:10Z</dcterms:modified>
  <dc:title>浙江中大宾馆有限公司整体股权</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